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1A5" w:rsidRDefault="007F534C">
      <w:pPr>
        <w:tabs>
          <w:tab w:val="right" w:pos="9400"/>
        </w:tabs>
        <w:spacing w:after="0" w:line="260" w:lineRule="auto"/>
        <w:ind w:left="1990" w:hanging="1990"/>
        <w:rPr>
          <w:rFonts w:ascii="Arial" w:eastAsia="宋体" w:hAnsi="Arial" w:cs="Arial"/>
          <w:b/>
          <w:sz w:val="24"/>
          <w:szCs w:val="22"/>
          <w:lang w:val="en-US" w:eastAsia="zh-CN"/>
        </w:rPr>
      </w:pPr>
      <w:r>
        <w:rPr>
          <w:rFonts w:ascii="Arial" w:hAnsi="Arial" w:cs="Arial"/>
          <w:b/>
          <w:sz w:val="24"/>
          <w:szCs w:val="22"/>
        </w:rPr>
        <w:t>3GPP TSG RAN Meeting #9</w:t>
      </w:r>
      <w:r>
        <w:rPr>
          <w:rFonts w:ascii="Arial" w:eastAsia="宋体" w:hAnsi="Arial" w:cs="Arial" w:hint="eastAsia"/>
          <w:b/>
          <w:sz w:val="24"/>
          <w:szCs w:val="22"/>
          <w:lang w:val="en-US" w:eastAsia="zh-CN"/>
        </w:rPr>
        <w:t>3</w:t>
      </w:r>
      <w:r>
        <w:rPr>
          <w:rFonts w:ascii="Arial" w:hAnsi="Arial" w:cs="Arial"/>
          <w:b/>
          <w:sz w:val="24"/>
          <w:szCs w:val="22"/>
        </w:rPr>
        <w:t>-e</w:t>
      </w:r>
      <w:r>
        <w:rPr>
          <w:rFonts w:ascii="Arial" w:hAnsi="Arial" w:cs="Arial" w:hint="eastAsia"/>
          <w:b/>
          <w:sz w:val="24"/>
          <w:szCs w:val="22"/>
          <w:lang w:eastAsia="zh-CN"/>
        </w:rPr>
        <w:tab/>
      </w:r>
      <w:r>
        <w:rPr>
          <w:rFonts w:ascii="Arial" w:hAnsi="Arial" w:cs="Arial" w:hint="eastAsia"/>
          <w:b/>
          <w:sz w:val="24"/>
          <w:szCs w:val="22"/>
        </w:rPr>
        <w:t>RP-21</w:t>
      </w:r>
      <w:r>
        <w:rPr>
          <w:rFonts w:ascii="Arial" w:eastAsia="宋体" w:hAnsi="Arial" w:cs="Arial" w:hint="eastAsia"/>
          <w:b/>
          <w:sz w:val="24"/>
          <w:szCs w:val="22"/>
          <w:lang w:val="en-US" w:eastAsia="zh-CN"/>
        </w:rPr>
        <w:t>2379</w:t>
      </w:r>
    </w:p>
    <w:p w:rsidR="001F21A5" w:rsidRDefault="007F534C">
      <w:pPr>
        <w:spacing w:after="0"/>
        <w:ind w:left="1988" w:hanging="1988"/>
        <w:rPr>
          <w:rFonts w:ascii="Arial" w:hAnsi="Arial" w:cs="Arial"/>
          <w:b/>
          <w:sz w:val="24"/>
          <w:szCs w:val="22"/>
        </w:rPr>
      </w:pPr>
      <w:r>
        <w:rPr>
          <w:rFonts w:ascii="Arial" w:hAnsi="Arial" w:cs="Arial"/>
          <w:b/>
          <w:sz w:val="24"/>
          <w:szCs w:val="22"/>
        </w:rPr>
        <w:t xml:space="preserve">Electronic Meeting, </w:t>
      </w:r>
      <w:r>
        <w:rPr>
          <w:rFonts w:ascii="Arial" w:eastAsia="宋体" w:hAnsi="Arial" w:cs="Arial" w:hint="eastAsia"/>
          <w:b/>
          <w:sz w:val="24"/>
          <w:szCs w:val="22"/>
          <w:lang w:val="en-US" w:eastAsia="zh-CN"/>
        </w:rPr>
        <w:t xml:space="preserve">September </w:t>
      </w:r>
      <w:r>
        <w:rPr>
          <w:rFonts w:ascii="Arial" w:hAnsi="Arial" w:cs="Arial" w:hint="eastAsia"/>
          <w:b/>
          <w:sz w:val="24"/>
          <w:szCs w:val="22"/>
        </w:rPr>
        <w:t>1</w:t>
      </w:r>
      <w:r>
        <w:rPr>
          <w:rFonts w:ascii="Arial" w:eastAsia="宋体" w:hAnsi="Arial" w:cs="Arial" w:hint="eastAsia"/>
          <w:b/>
          <w:sz w:val="24"/>
          <w:szCs w:val="22"/>
          <w:lang w:val="en-US" w:eastAsia="zh-CN"/>
        </w:rPr>
        <w:t>3</w:t>
      </w:r>
      <w:r>
        <w:rPr>
          <w:rFonts w:ascii="Arial" w:hAnsi="Arial" w:cs="Arial" w:hint="eastAsia"/>
          <w:b/>
          <w:sz w:val="24"/>
          <w:szCs w:val="22"/>
        </w:rPr>
        <w:t xml:space="preserve"> - 1</w:t>
      </w:r>
      <w:r>
        <w:rPr>
          <w:rFonts w:ascii="Arial" w:eastAsia="宋体" w:hAnsi="Arial" w:cs="Arial" w:hint="eastAsia"/>
          <w:b/>
          <w:sz w:val="24"/>
          <w:szCs w:val="22"/>
          <w:lang w:val="en-US" w:eastAsia="zh-CN"/>
        </w:rPr>
        <w:t>9</w:t>
      </w:r>
      <w:r>
        <w:rPr>
          <w:rFonts w:ascii="Arial" w:hAnsi="Arial" w:cs="Arial" w:hint="eastAsia"/>
          <w:b/>
          <w:sz w:val="24"/>
          <w:szCs w:val="22"/>
        </w:rPr>
        <w:t>, 2021</w:t>
      </w:r>
    </w:p>
    <w:p w:rsidR="001F21A5" w:rsidRDefault="001F21A5">
      <w:pPr>
        <w:spacing w:after="0"/>
        <w:rPr>
          <w:rFonts w:ascii="Arial" w:hAnsi="Arial" w:cs="Arial"/>
          <w:b/>
          <w:sz w:val="24"/>
        </w:rPr>
      </w:pPr>
    </w:p>
    <w:p w:rsidR="001F21A5" w:rsidRDefault="007F534C">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hint="eastAsia"/>
          <w:b/>
          <w:sz w:val="24"/>
          <w:lang w:eastAsia="zh-CN"/>
        </w:rPr>
        <w:t>ZTE</w:t>
      </w:r>
      <w:r>
        <w:rPr>
          <w:rFonts w:ascii="Arial" w:hAnsi="Arial" w:cs="Arial"/>
          <w:b/>
          <w:sz w:val="24"/>
          <w:lang w:eastAsia="zh-CN"/>
        </w:rPr>
        <w:t>, Sanechips</w:t>
      </w:r>
    </w:p>
    <w:p w:rsidR="001F21A5" w:rsidRDefault="007F534C">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lang w:val="en-US" w:eastAsia="zh-CN"/>
          </w:rPr>
          <w:alias w:val="Title"/>
          <w:id w:val="1803343673"/>
          <w:placeholder>
            <w:docPart w:val="{bcde9a07-ffd2-49c2-a6f0-a131c1d07e91}"/>
          </w:placeholder>
          <w:dataBinding w:prefixMappings="xmlns:ns0='http://purl.org/dc/elements/1.1/' xmlns:ns1='http://schemas.openxmlformats.org/package/2006/metadata/core-properties' " w:xpath="/ns1:coreProperties[1]/ns0:title[1]" w:storeItemID="{6C3C8BC8-F283-45AE-878A-BAB7291924A1}"/>
          <w:text/>
        </w:sdtPr>
        <w:sdtEndPr>
          <w:rPr>
            <w:rFonts w:hint="eastAsia"/>
            <w:lang w:val="en-GB"/>
          </w:rPr>
        </w:sdtEndPr>
        <w:sdtContent>
          <w:r>
            <w:rPr>
              <w:rFonts w:ascii="Arial" w:hAnsi="Arial" w:cs="Arial" w:hint="eastAsia"/>
              <w:b/>
              <w:sz w:val="24"/>
              <w:lang w:val="en-US" w:eastAsia="zh-CN"/>
            </w:rPr>
            <w:t>RedCap evolution in Rel-18</w:t>
          </w:r>
        </w:sdtContent>
      </w:sdt>
    </w:p>
    <w:p w:rsidR="001F21A5" w:rsidRDefault="007F534C">
      <w:pPr>
        <w:spacing w:after="0"/>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r>
      <w:r>
        <w:rPr>
          <w:rFonts w:ascii="Arial" w:hAnsi="Arial" w:cs="Arial" w:hint="eastAsia"/>
          <w:b/>
          <w:sz w:val="24"/>
        </w:rPr>
        <w:t>9.</w:t>
      </w:r>
      <w:r>
        <w:rPr>
          <w:rFonts w:ascii="Arial" w:eastAsia="宋体" w:hAnsi="Arial" w:cs="Arial" w:hint="eastAsia"/>
          <w:b/>
          <w:sz w:val="24"/>
          <w:lang w:val="en-US" w:eastAsia="zh-CN"/>
        </w:rPr>
        <w:t>0</w:t>
      </w:r>
      <w:r>
        <w:rPr>
          <w:rFonts w:ascii="Arial" w:hAnsi="Arial" w:cs="Arial" w:hint="eastAsia"/>
          <w:b/>
          <w:sz w:val="24"/>
        </w:rPr>
        <w:t>.2</w:t>
      </w:r>
    </w:p>
    <w:p w:rsidR="001F21A5" w:rsidRDefault="007F534C">
      <w:pPr>
        <w:pStyle w:val="ad"/>
        <w:snapToGrid w:val="0"/>
        <w:spacing w:afterLines="50" w:after="180" w:line="240" w:lineRule="auto"/>
        <w:rPr>
          <w:rFonts w:eastAsia="宋体" w:cs="Arial"/>
          <w:sz w:val="24"/>
          <w:lang w:eastAsia="zh-CN"/>
        </w:rPr>
      </w:pPr>
      <w:r>
        <w:rPr>
          <w:rFonts w:cs="Arial"/>
          <w:sz w:val="24"/>
          <w:lang w:val="en-GB"/>
        </w:rPr>
        <w:t>Document for:</w:t>
      </w:r>
      <w:r>
        <w:rPr>
          <w:rFonts w:eastAsia="宋体" w:cs="Arial" w:hint="eastAsia"/>
          <w:sz w:val="24"/>
          <w:lang w:eastAsia="zh-CN"/>
        </w:rPr>
        <w:t xml:space="preserve">   </w:t>
      </w:r>
      <w:sdt>
        <w:sdtPr>
          <w:rPr>
            <w:rFonts w:cs="Arial" w:hint="eastAsia"/>
            <w:sz w:val="24"/>
            <w:lang w:val="en-GB" w:eastAsia="zh-CN"/>
          </w:rPr>
          <w:alias w:val="Status"/>
          <w:id w:val="994531089"/>
          <w:placeholder>
            <w:docPart w:val="{78743030-6e7c-4b5f-b1b6-3973c93b3f82}"/>
          </w:placeholder>
          <w:dataBinding w:prefixMappings="xmlns:ns0='http://purl.org/dc/elements/1.1/' xmlns:ns1='http://schemas.openxmlformats.org/package/2006/metadata/core-properties' " w:xpath="/ns1:coreProperties[1]/ns1:contentStatus[1]" w:storeItemID="{6C3C8BC8-F283-45AE-878A-BAB7291924A1}"/>
          <w:text/>
        </w:sdtPr>
        <w:sdtContent>
          <w:r w:rsidR="006F3D7A">
            <w:rPr>
              <w:rFonts w:cs="Arial"/>
              <w:sz w:val="24"/>
              <w:lang w:eastAsia="zh-CN"/>
            </w:rPr>
            <w:t>D</w:t>
          </w:r>
          <w:r w:rsidR="006F3D7A">
            <w:rPr>
              <w:rFonts w:cs="Arial" w:hint="eastAsia"/>
              <w:sz w:val="24"/>
              <w:lang w:eastAsia="zh-CN"/>
            </w:rPr>
            <w:t>iscussion</w:t>
          </w:r>
        </w:sdtContent>
      </w:sdt>
    </w:p>
    <w:p w:rsidR="001F21A5" w:rsidRDefault="007F534C">
      <w:pPr>
        <w:pStyle w:val="1"/>
        <w:pBdr>
          <w:top w:val="single" w:sz="12" w:space="2" w:color="auto"/>
        </w:pBdr>
        <w:spacing w:beforeLines="0" w:afterLines="50" w:after="180"/>
      </w:pPr>
      <w:r>
        <w:t>I</w:t>
      </w:r>
      <w:r>
        <w:rPr>
          <w:rFonts w:hint="eastAsia"/>
        </w:rPr>
        <w:t>ntroduction</w:t>
      </w:r>
    </w:p>
    <w:p w:rsidR="001F21A5" w:rsidRDefault="007F534C">
      <w:pPr>
        <w:rPr>
          <w:lang w:val="en-US" w:eastAsia="zh-CN"/>
        </w:rPr>
      </w:pPr>
      <w:r>
        <w:rPr>
          <w:rFonts w:hint="eastAsia"/>
          <w:lang w:val="en-US" w:eastAsia="zh-CN"/>
        </w:rPr>
        <w:t>In release 17, a n</w:t>
      </w:r>
      <w:r>
        <w:rPr>
          <w:lang w:eastAsia="zh-CN"/>
        </w:rPr>
        <w:t xml:space="preserve">ew WID on </w:t>
      </w:r>
      <w:r>
        <w:rPr>
          <w:lang w:val="en-US" w:bidi="ar"/>
        </w:rPr>
        <w:t xml:space="preserve">reduced capability NR </w:t>
      </w:r>
      <w:r>
        <w:rPr>
          <w:lang w:val="en-US" w:bidi="ar"/>
        </w:rPr>
        <w:t>devices</w:t>
      </w:r>
      <w:r>
        <w:rPr>
          <w:rFonts w:eastAsia="宋体"/>
          <w:lang w:val="en-US" w:eastAsia="zh-CN" w:bidi="ar"/>
        </w:rPr>
        <w:t xml:space="preserve"> (</w:t>
      </w:r>
      <w:r>
        <w:rPr>
          <w:rFonts w:eastAsia="宋体" w:hint="eastAsia"/>
          <w:lang w:val="en-US" w:eastAsia="zh-CN" w:bidi="ar"/>
        </w:rPr>
        <w:t>RedCap)</w:t>
      </w:r>
      <w:r>
        <w:rPr>
          <w:rFonts w:hint="eastAsia"/>
          <w:lang w:val="en-US" w:eastAsia="zh-CN"/>
        </w:rPr>
        <w:t xml:space="preserve"> was approved [1], and it was further revised in [2] in RAN#92-e. The </w:t>
      </w:r>
      <w:r>
        <w:rPr>
          <w:rFonts w:eastAsia="宋体" w:hint="eastAsia"/>
          <w:lang w:val="en-US" w:eastAsia="zh-CN"/>
        </w:rPr>
        <w:t xml:space="preserve">justification </w:t>
      </w:r>
      <w:r>
        <w:rPr>
          <w:rFonts w:hint="eastAsia"/>
          <w:lang w:val="en-US" w:eastAsia="zh-CN"/>
        </w:rPr>
        <w:t>of this WID in release 17 is shown as in following.</w:t>
      </w:r>
    </w:p>
    <w:tbl>
      <w:tblPr>
        <w:tblStyle w:val="af2"/>
        <w:tblW w:w="0" w:type="auto"/>
        <w:tblLook w:val="04A0" w:firstRow="1" w:lastRow="0" w:firstColumn="1" w:lastColumn="0" w:noHBand="0" w:noVBand="1"/>
      </w:tblPr>
      <w:tblGrid>
        <w:gridCol w:w="9345"/>
      </w:tblGrid>
      <w:tr w:rsidR="001F21A5">
        <w:tc>
          <w:tcPr>
            <w:tcW w:w="9571" w:type="dxa"/>
          </w:tcPr>
          <w:p w:rsidR="001F21A5" w:rsidRDefault="007F534C">
            <w:r>
              <w:rPr>
                <w:rFonts w:hint="eastAsia"/>
                <w:lang w:val="en-US" w:eastAsia="zh-CN"/>
              </w:rPr>
              <w:t xml:space="preserve"> </w:t>
            </w:r>
            <w:r>
              <w:t>Beside the use cases that are already adequately addressed by the mentioned technologies, the following</w:t>
            </w:r>
            <w:r>
              <w:t xml:space="preserve"> categories of mid-range use cases have been identified where some NR enhancements may be motivated.</w:t>
            </w:r>
          </w:p>
          <w:p w:rsidR="001F21A5" w:rsidRDefault="007F534C">
            <w:pPr>
              <w:pStyle w:val="B10"/>
              <w:numPr>
                <w:ilvl w:val="0"/>
                <w:numId w:val="3"/>
              </w:numPr>
            </w:pPr>
            <w:r>
              <w:t>One important objective of 5G is to enable connected industries. 5G connectivity can serve as catalyst for next wave of industrial transformation and digit</w:t>
            </w:r>
            <w:r>
              <w:t xml:space="preserve">alization, which improve flexibility, enhance productivity and efficiency, reduce maintenance cost, and improve operational safety.  Devices in such environment include e.g. pressure sensors, humidity sensors, thermometers, motion sensors, accelerometers, </w:t>
            </w:r>
            <w:r>
              <w:t>actuators, etc. It is desirable to connect these sensors and actuators to 5G radio access and core networks. The massive industrial wireless sensor network (IWSN) use cases and requirements described in TR 22.804, TS 22.104, TR 22.832 and TS 22.261 include</w:t>
            </w:r>
            <w:r>
              <w:t xml:space="preserve"> not only URLLC services with very high requirements, but also relatively low-end services with the requirement of small device form factors, and/or being completely wireless with a battery life of several years. The requirements for these services are hig</w:t>
            </w:r>
            <w:r>
              <w:t>her than LPWA (i.e. LTE-MTC/NB-IoT) but lower than URLLC and eMBB.</w:t>
            </w:r>
          </w:p>
          <w:p w:rsidR="001F21A5" w:rsidRDefault="007F534C">
            <w:pPr>
              <w:pStyle w:val="B10"/>
              <w:numPr>
                <w:ilvl w:val="0"/>
                <w:numId w:val="3"/>
              </w:numPr>
            </w:pPr>
            <w:r>
              <w:t>Similar to connected industries, 5G connectivity can serve as catalyst for the next wave smart city innovations.  As an example, TR 22.804 describes smart city use case and requirements for</w:t>
            </w:r>
            <w:r>
              <w:t xml:space="preserve"> that. The smart city vertical covers data collection and processing to more efficiently monitor and control city resources, and to provide services to city residents. Especially, the deployment of surveillance cameras is an essential part of the smart cit</w:t>
            </w:r>
            <w:r>
              <w:t>y but also of factories and industries.</w:t>
            </w:r>
          </w:p>
          <w:p w:rsidR="001F21A5" w:rsidRDefault="007F534C">
            <w:pPr>
              <w:pStyle w:val="B10"/>
              <w:numPr>
                <w:ilvl w:val="0"/>
                <w:numId w:val="3"/>
              </w:numPr>
            </w:pPr>
            <w:r>
              <w:t xml:space="preserve">Finally, wearables use case includes smart watches, eHealth related devices, personal protection equipment (PPE), and medical monitoring devices for use in public safety applications, etc. One characteristic for the </w:t>
            </w:r>
            <w:r>
              <w:t>use case is that the device is small in size.</w:t>
            </w:r>
          </w:p>
          <w:p w:rsidR="001F21A5" w:rsidRDefault="007F534C">
            <w:pPr>
              <w:ind w:right="-99"/>
              <w:rPr>
                <w:rFonts w:eastAsia="宋体"/>
                <w:lang w:eastAsia="ja-JP"/>
              </w:rPr>
            </w:pPr>
            <w:r>
              <w:rPr>
                <w:rFonts w:eastAsia="宋体"/>
                <w:lang w:eastAsia="ja-JP"/>
              </w:rPr>
              <w:t>As a baseline, the requirements for these three use cases are:</w:t>
            </w:r>
          </w:p>
          <w:p w:rsidR="001F21A5" w:rsidRDefault="007F534C">
            <w:pPr>
              <w:ind w:right="-99"/>
              <w:rPr>
                <w:rFonts w:eastAsia="宋体"/>
                <w:lang w:eastAsia="ja-JP"/>
              </w:rPr>
            </w:pPr>
            <w:r>
              <w:rPr>
                <w:rFonts w:eastAsia="宋体"/>
                <w:lang w:eastAsia="ja-JP"/>
              </w:rPr>
              <w:t>Generic requirements:</w:t>
            </w:r>
          </w:p>
          <w:p w:rsidR="001F21A5" w:rsidRDefault="007F534C">
            <w:pPr>
              <w:pStyle w:val="B10"/>
              <w:numPr>
                <w:ilvl w:val="0"/>
                <w:numId w:val="4"/>
              </w:numPr>
              <w:rPr>
                <w:rFonts w:eastAsia="宋体"/>
                <w:lang w:eastAsia="ja-JP"/>
              </w:rPr>
            </w:pPr>
            <w:r>
              <w:rPr>
                <w:rFonts w:eastAsia="宋体"/>
                <w:lang w:eastAsia="ja-JP"/>
              </w:rPr>
              <w:t>Device complexity: Main motivation for the new device type is to lower the device cost and complexity as compared to high-end</w:t>
            </w:r>
            <w:r>
              <w:rPr>
                <w:rFonts w:eastAsia="宋体"/>
                <w:lang w:eastAsia="ja-JP"/>
              </w:rPr>
              <w:t xml:space="preserve"> eMBB and URLLC devices of Rel-15/Rel-16. This is especially the case for industrial sensors.</w:t>
            </w:r>
          </w:p>
          <w:p w:rsidR="001F21A5" w:rsidRDefault="007F534C">
            <w:pPr>
              <w:pStyle w:val="B10"/>
              <w:numPr>
                <w:ilvl w:val="0"/>
                <w:numId w:val="4"/>
              </w:numPr>
              <w:rPr>
                <w:rFonts w:eastAsia="宋体"/>
                <w:lang w:eastAsia="ja-JP"/>
              </w:rPr>
            </w:pPr>
            <w:r>
              <w:rPr>
                <w:rFonts w:eastAsia="宋体"/>
                <w:lang w:eastAsia="ja-JP"/>
              </w:rPr>
              <w:t>Device size: Requirement for most use cases is that the standard enables a device design with compact form factor.</w:t>
            </w:r>
          </w:p>
          <w:p w:rsidR="001F21A5" w:rsidRDefault="007F534C">
            <w:pPr>
              <w:pStyle w:val="B10"/>
              <w:numPr>
                <w:ilvl w:val="0"/>
                <w:numId w:val="4"/>
              </w:numPr>
              <w:rPr>
                <w:rFonts w:eastAsia="宋体"/>
                <w:lang w:eastAsia="ja-JP"/>
              </w:rPr>
            </w:pPr>
            <w:r>
              <w:rPr>
                <w:rFonts w:eastAsia="宋体"/>
                <w:lang w:eastAsia="ja-JP"/>
              </w:rPr>
              <w:t>Deployment scenarios: System should support all</w:t>
            </w:r>
            <w:r>
              <w:rPr>
                <w:rFonts w:eastAsia="宋体"/>
                <w:lang w:eastAsia="ja-JP"/>
              </w:rPr>
              <w:t xml:space="preserve"> FR1/FR2 bands for FDD and TDD.</w:t>
            </w:r>
          </w:p>
          <w:p w:rsidR="001F21A5" w:rsidRDefault="007F534C">
            <w:pPr>
              <w:ind w:right="-99"/>
              <w:rPr>
                <w:rFonts w:eastAsia="宋体"/>
                <w:lang w:eastAsia="ja-JP"/>
              </w:rPr>
            </w:pPr>
            <w:r>
              <w:rPr>
                <w:rFonts w:eastAsia="宋体"/>
                <w:lang w:eastAsia="ja-JP"/>
              </w:rPr>
              <w:t xml:space="preserve">Use case specific requirements: </w:t>
            </w:r>
          </w:p>
          <w:p w:rsidR="001F21A5" w:rsidRDefault="007F534C">
            <w:pPr>
              <w:pStyle w:val="B10"/>
              <w:numPr>
                <w:ilvl w:val="0"/>
                <w:numId w:val="5"/>
              </w:numPr>
            </w:pPr>
            <w:r>
              <w:t>Industrial wireless sensors: Reference use cases and requirements are described in TR 22.832 and TS 22.104: Communication service availability is 99.99% and end-to-end latency less than 100 m</w:t>
            </w:r>
            <w:r>
              <w:t>s. The reference bit rate is less than 2 Mbps (potentially asymmetric e.g. UL heavy traffic) for all use cases and the device is stationary. The battery should last at least few years. For safety related sensors, latency requirement is lower, 5-10 ms (TR 2</w:t>
            </w:r>
            <w:r>
              <w:t>2.804)</w:t>
            </w:r>
          </w:p>
          <w:p w:rsidR="001F21A5" w:rsidRDefault="007F534C">
            <w:pPr>
              <w:pStyle w:val="B10"/>
              <w:numPr>
                <w:ilvl w:val="0"/>
                <w:numId w:val="5"/>
              </w:numPr>
            </w:pPr>
            <w:r>
              <w:lastRenderedPageBreak/>
              <w:t>Video surveillance: As described in TR 22.804, reference economic video bitrate would be 2-4 Mbps, latency &lt; 500 ms, reliability 99%-99.9%. High-end video e.g. for farming would require 7.5-25 Mbps. It is noted that traffic pattern is dominated by U</w:t>
            </w:r>
            <w:r>
              <w:t>L transmissions.</w:t>
            </w:r>
          </w:p>
          <w:p w:rsidR="001F21A5" w:rsidRDefault="007F534C">
            <w:pPr>
              <w:pStyle w:val="B10"/>
              <w:numPr>
                <w:ilvl w:val="0"/>
                <w:numId w:val="5"/>
              </w:numPr>
            </w:pPr>
            <w:r>
              <w:t>Wearables: Reference bitrate for smart wearable application can be 5-50 Mbps in DL and 2-5 Mbps in UL, and peak bit rate of the device can be higher, up to 150 Mbps for downlink and up to 50 Mbps for uplink.  Battery of the device should l</w:t>
            </w:r>
            <w:r>
              <w:t>ast multiple days (up to 1-2 weeks).</w:t>
            </w:r>
          </w:p>
          <w:p w:rsidR="001F21A5" w:rsidRDefault="007F534C">
            <w:pPr>
              <w:ind w:right="-99"/>
              <w:rPr>
                <w:lang w:val="en-US" w:eastAsia="zh-CN"/>
              </w:rPr>
            </w:pPr>
            <w:r>
              <w:t>Techniques for UE complexity reduction, coverage recovery and UE power saving for these use cases have been studied in the RedCap study item documented in TR 38.875.</w:t>
            </w:r>
          </w:p>
        </w:tc>
      </w:tr>
    </w:tbl>
    <w:p w:rsidR="001F21A5" w:rsidRDefault="007F534C">
      <w:pPr>
        <w:spacing w:beforeLines="50" w:before="180" w:afterLines="50" w:after="180"/>
        <w:rPr>
          <w:rFonts w:eastAsia="宋体"/>
          <w:lang w:val="en-US" w:eastAsia="zh-CN"/>
        </w:rPr>
      </w:pPr>
      <w:r>
        <w:rPr>
          <w:rFonts w:eastAsia="宋体" w:hint="eastAsia"/>
          <w:lang w:val="en-US" w:eastAsia="zh-CN"/>
        </w:rPr>
        <w:lastRenderedPageBreak/>
        <w:t xml:space="preserve">Based on the progress achieved in release 17, it is </w:t>
      </w:r>
      <w:r>
        <w:rPr>
          <w:rFonts w:eastAsia="宋体" w:hint="eastAsia"/>
          <w:lang w:val="en-US" w:eastAsia="zh-CN"/>
        </w:rPr>
        <w:t xml:space="preserve">necessary to introduce some enhancements to RedCap UE in release 18 to further reduce complexity and cost. </w:t>
      </w:r>
      <w:r>
        <w:rPr>
          <w:rFonts w:hint="eastAsia"/>
          <w:lang w:val="en-US" w:eastAsia="zh-CN"/>
        </w:rPr>
        <w:t>In this contribution, we provide a summary of potential RAN1 related enhancements in release 18 for RedCap UE, and propose the WID scope correspondin</w:t>
      </w:r>
      <w:r>
        <w:rPr>
          <w:rFonts w:hint="eastAsia"/>
          <w:lang w:val="en-US" w:eastAsia="zh-CN"/>
        </w:rPr>
        <w:t>gly</w:t>
      </w:r>
      <w:r>
        <w:rPr>
          <w:rFonts w:eastAsia="宋体" w:hint="eastAsia"/>
          <w:lang w:val="en-US" w:eastAsia="zh-CN"/>
        </w:rPr>
        <w:t>.</w:t>
      </w:r>
    </w:p>
    <w:p w:rsidR="001F21A5" w:rsidRDefault="007F534C">
      <w:pPr>
        <w:pStyle w:val="1"/>
        <w:spacing w:before="180"/>
        <w:rPr>
          <w:lang w:val="en-US"/>
        </w:rPr>
      </w:pPr>
      <w:r>
        <w:rPr>
          <w:rFonts w:hint="eastAsia"/>
          <w:lang w:val="en-US"/>
        </w:rPr>
        <w:t>Discussion</w:t>
      </w:r>
    </w:p>
    <w:p w:rsidR="001F21A5" w:rsidRDefault="007F534C">
      <w:pPr>
        <w:rPr>
          <w:rFonts w:eastAsia="宋体"/>
          <w:lang w:val="en-US" w:eastAsia="zh-CN"/>
        </w:rPr>
      </w:pPr>
      <w:r>
        <w:rPr>
          <w:rFonts w:eastAsia="宋体" w:hint="eastAsia"/>
          <w:lang w:val="en-US" w:eastAsia="zh-CN"/>
        </w:rPr>
        <w:t>According to the R17 WID description, for the three use cases, they have the different requirements.</w:t>
      </w:r>
    </w:p>
    <w:p w:rsidR="001F21A5" w:rsidRDefault="007F534C">
      <w:pPr>
        <w:jc w:val="center"/>
        <w:rPr>
          <w:rFonts w:eastAsia="宋体"/>
          <w:lang w:val="en-US" w:eastAsia="zh-CN"/>
        </w:rPr>
      </w:pPr>
      <w:r>
        <w:rPr>
          <w:rFonts w:eastAsia="宋体" w:hint="eastAsia"/>
          <w:lang w:val="en-US" w:eastAsia="zh-CN"/>
        </w:rPr>
        <w:t>Table 1. Requirements for RedCap use cases</w:t>
      </w:r>
    </w:p>
    <w:tbl>
      <w:tblPr>
        <w:tblW w:w="8400" w:type="dxa"/>
        <w:jc w:val="center"/>
        <w:tblCellSpacing w:w="0" w:type="dxa"/>
        <w:tblLayout w:type="fixed"/>
        <w:tblCellMar>
          <w:left w:w="0" w:type="dxa"/>
          <w:right w:w="0" w:type="dxa"/>
        </w:tblCellMar>
        <w:tblLook w:val="04A0" w:firstRow="1" w:lastRow="0" w:firstColumn="1" w:lastColumn="0" w:noHBand="0" w:noVBand="1"/>
      </w:tblPr>
      <w:tblGrid>
        <w:gridCol w:w="2308"/>
        <w:gridCol w:w="2192"/>
        <w:gridCol w:w="1085"/>
        <w:gridCol w:w="1280"/>
        <w:gridCol w:w="1535"/>
      </w:tblGrid>
      <w:tr w:rsidR="001F21A5">
        <w:trPr>
          <w:trHeight w:val="440"/>
          <w:tblCellSpacing w:w="0" w:type="dxa"/>
          <w:jc w:val="center"/>
        </w:trPr>
        <w:tc>
          <w:tcPr>
            <w:tcW w:w="2308" w:type="dxa"/>
            <w:tcBorders>
              <w:top w:val="single" w:sz="6" w:space="0" w:color="FFFFFF"/>
              <w:left w:val="single" w:sz="6" w:space="0" w:color="FFFFFF"/>
              <w:bottom w:val="single" w:sz="18" w:space="0" w:color="FFFFFF"/>
              <w:right w:val="single" w:sz="6" w:space="0" w:color="FFFFFF"/>
            </w:tcBorders>
            <w:shd w:val="clear" w:color="auto" w:fill="5B9BD5"/>
            <w:tcMar>
              <w:left w:w="81" w:type="dxa"/>
              <w:right w:w="81" w:type="dxa"/>
            </w:tcMar>
          </w:tcPr>
          <w:p w:rsidR="001F21A5" w:rsidRDefault="007F534C">
            <w:r>
              <w:t>Use cases</w:t>
            </w:r>
          </w:p>
        </w:tc>
        <w:tc>
          <w:tcPr>
            <w:tcW w:w="2192" w:type="dxa"/>
            <w:tcBorders>
              <w:top w:val="single" w:sz="6" w:space="0" w:color="FFFFFF"/>
              <w:left w:val="single" w:sz="6" w:space="0" w:color="FFFFFF"/>
              <w:bottom w:val="single" w:sz="18" w:space="0" w:color="FFFFFF"/>
              <w:right w:val="single" w:sz="6" w:space="0" w:color="FFFFFF"/>
            </w:tcBorders>
            <w:shd w:val="clear" w:color="auto" w:fill="5B9BD5"/>
            <w:tcMar>
              <w:left w:w="81" w:type="dxa"/>
              <w:right w:w="81" w:type="dxa"/>
            </w:tcMar>
          </w:tcPr>
          <w:p w:rsidR="001F21A5" w:rsidRDefault="007F534C">
            <w:r>
              <w:t>Reference bit rate</w:t>
            </w:r>
          </w:p>
        </w:tc>
        <w:tc>
          <w:tcPr>
            <w:tcW w:w="1085" w:type="dxa"/>
            <w:tcBorders>
              <w:top w:val="single" w:sz="6" w:space="0" w:color="FFFFFF"/>
              <w:left w:val="single" w:sz="6" w:space="0" w:color="FFFFFF"/>
              <w:bottom w:val="single" w:sz="18" w:space="0" w:color="FFFFFF"/>
              <w:right w:val="single" w:sz="6" w:space="0" w:color="FFFFFF"/>
            </w:tcBorders>
            <w:shd w:val="clear" w:color="auto" w:fill="5B9BD5"/>
            <w:tcMar>
              <w:left w:w="81" w:type="dxa"/>
              <w:right w:w="81" w:type="dxa"/>
            </w:tcMar>
          </w:tcPr>
          <w:p w:rsidR="001F21A5" w:rsidRDefault="007F534C">
            <w:r>
              <w:t>Latency</w:t>
            </w:r>
          </w:p>
        </w:tc>
        <w:tc>
          <w:tcPr>
            <w:tcW w:w="1280" w:type="dxa"/>
            <w:tcBorders>
              <w:top w:val="single" w:sz="6" w:space="0" w:color="FFFFFF"/>
              <w:left w:val="single" w:sz="6" w:space="0" w:color="FFFFFF"/>
              <w:bottom w:val="single" w:sz="18" w:space="0" w:color="FFFFFF"/>
              <w:right w:val="single" w:sz="6" w:space="0" w:color="FFFFFF"/>
            </w:tcBorders>
            <w:shd w:val="clear" w:color="auto" w:fill="5B9BD5"/>
            <w:tcMar>
              <w:left w:w="81" w:type="dxa"/>
              <w:right w:w="81" w:type="dxa"/>
            </w:tcMar>
          </w:tcPr>
          <w:p w:rsidR="001F21A5" w:rsidRDefault="007F534C">
            <w:r>
              <w:t>Reliability</w:t>
            </w:r>
          </w:p>
        </w:tc>
        <w:tc>
          <w:tcPr>
            <w:tcW w:w="1535" w:type="dxa"/>
            <w:tcBorders>
              <w:top w:val="single" w:sz="6" w:space="0" w:color="FFFFFF"/>
              <w:left w:val="single" w:sz="6" w:space="0" w:color="FFFFFF"/>
              <w:bottom w:val="single" w:sz="18" w:space="0" w:color="FFFFFF"/>
              <w:right w:val="single" w:sz="6" w:space="0" w:color="FFFFFF"/>
            </w:tcBorders>
            <w:shd w:val="clear" w:color="auto" w:fill="5B9BD5"/>
            <w:tcMar>
              <w:left w:w="81" w:type="dxa"/>
              <w:right w:w="81" w:type="dxa"/>
            </w:tcMar>
          </w:tcPr>
          <w:p w:rsidR="001F21A5" w:rsidRDefault="007F534C">
            <w:r>
              <w:t>Battery life</w:t>
            </w:r>
          </w:p>
        </w:tc>
      </w:tr>
      <w:tr w:rsidR="001F21A5">
        <w:trPr>
          <w:trHeight w:val="680"/>
          <w:tblCellSpacing w:w="0" w:type="dxa"/>
          <w:jc w:val="center"/>
        </w:trPr>
        <w:tc>
          <w:tcPr>
            <w:tcW w:w="2308" w:type="dxa"/>
            <w:tcBorders>
              <w:top w:val="single" w:sz="6" w:space="0" w:color="FFFFFF"/>
              <w:left w:val="single" w:sz="6" w:space="0" w:color="FFFFFF"/>
              <w:bottom w:val="single" w:sz="18" w:space="0" w:color="FFFFFF"/>
              <w:right w:val="single" w:sz="6" w:space="0" w:color="FFFFFF"/>
            </w:tcBorders>
            <w:shd w:val="clear" w:color="auto" w:fill="5B9BD5"/>
            <w:tcMar>
              <w:left w:w="81" w:type="dxa"/>
              <w:right w:w="81" w:type="dxa"/>
            </w:tcMar>
          </w:tcPr>
          <w:p w:rsidR="001F21A5" w:rsidRDefault="007F534C">
            <w:r>
              <w:t>Industrial wireless sensors</w:t>
            </w:r>
          </w:p>
        </w:tc>
        <w:tc>
          <w:tcPr>
            <w:tcW w:w="2192" w:type="dxa"/>
            <w:tcBorders>
              <w:top w:val="single" w:sz="6" w:space="0" w:color="FFFFFF"/>
              <w:left w:val="single" w:sz="6" w:space="0" w:color="FFFFFF"/>
              <w:bottom w:val="single" w:sz="18" w:space="0" w:color="FFFFFF"/>
              <w:right w:val="single" w:sz="6" w:space="0" w:color="FFFFFF"/>
            </w:tcBorders>
            <w:shd w:val="clear" w:color="auto" w:fill="D2DEEF"/>
            <w:tcMar>
              <w:left w:w="81" w:type="dxa"/>
              <w:right w:w="81" w:type="dxa"/>
            </w:tcMar>
          </w:tcPr>
          <w:p w:rsidR="001F21A5" w:rsidRDefault="007F534C">
            <w:r>
              <w:t>2  Mbps</w:t>
            </w:r>
          </w:p>
          <w:p w:rsidR="001F21A5" w:rsidRDefault="007F534C">
            <w:r>
              <w:t> </w:t>
            </w:r>
          </w:p>
        </w:tc>
        <w:tc>
          <w:tcPr>
            <w:tcW w:w="1085" w:type="dxa"/>
            <w:tcBorders>
              <w:top w:val="single" w:sz="6" w:space="0" w:color="FFFFFF"/>
              <w:left w:val="single" w:sz="6" w:space="0" w:color="FFFFFF"/>
              <w:bottom w:val="single" w:sz="18" w:space="0" w:color="FFFFFF"/>
              <w:right w:val="single" w:sz="6" w:space="0" w:color="FFFFFF"/>
            </w:tcBorders>
            <w:shd w:val="clear" w:color="auto" w:fill="D2DEEF"/>
            <w:tcMar>
              <w:left w:w="81" w:type="dxa"/>
              <w:right w:w="81" w:type="dxa"/>
            </w:tcMar>
          </w:tcPr>
          <w:p w:rsidR="001F21A5" w:rsidRDefault="007F534C">
            <w:r>
              <w:t>100 ms</w:t>
            </w:r>
          </w:p>
          <w:p w:rsidR="001F21A5" w:rsidRDefault="007F534C">
            <w:r>
              <w:t>5-10 ms</w:t>
            </w:r>
          </w:p>
        </w:tc>
        <w:tc>
          <w:tcPr>
            <w:tcW w:w="1280" w:type="dxa"/>
            <w:tcBorders>
              <w:top w:val="single" w:sz="6" w:space="0" w:color="FFFFFF"/>
              <w:left w:val="single" w:sz="6" w:space="0" w:color="FFFFFF"/>
              <w:bottom w:val="single" w:sz="18" w:space="0" w:color="FFFFFF"/>
              <w:right w:val="single" w:sz="6" w:space="0" w:color="FFFFFF"/>
            </w:tcBorders>
            <w:shd w:val="clear" w:color="auto" w:fill="D2DEEF"/>
            <w:tcMar>
              <w:left w:w="81" w:type="dxa"/>
              <w:right w:w="81" w:type="dxa"/>
            </w:tcMar>
          </w:tcPr>
          <w:p w:rsidR="001F21A5" w:rsidRDefault="007F534C">
            <w:r>
              <w:t>99.99%</w:t>
            </w:r>
          </w:p>
        </w:tc>
        <w:tc>
          <w:tcPr>
            <w:tcW w:w="1535" w:type="dxa"/>
            <w:tcBorders>
              <w:top w:val="single" w:sz="6" w:space="0" w:color="FFFFFF"/>
              <w:left w:val="single" w:sz="6" w:space="0" w:color="FFFFFF"/>
              <w:bottom w:val="single" w:sz="18" w:space="0" w:color="FFFFFF"/>
              <w:right w:val="single" w:sz="6" w:space="0" w:color="FFFFFF"/>
            </w:tcBorders>
            <w:shd w:val="clear" w:color="auto" w:fill="D2DEEF"/>
            <w:tcMar>
              <w:left w:w="81" w:type="dxa"/>
              <w:right w:w="81" w:type="dxa"/>
            </w:tcMar>
          </w:tcPr>
          <w:p w:rsidR="001F21A5" w:rsidRDefault="007F534C">
            <w:r>
              <w:t>few years</w:t>
            </w:r>
          </w:p>
        </w:tc>
      </w:tr>
      <w:tr w:rsidR="001F21A5">
        <w:trPr>
          <w:trHeight w:val="760"/>
          <w:tblCellSpacing w:w="0" w:type="dxa"/>
          <w:jc w:val="center"/>
        </w:trPr>
        <w:tc>
          <w:tcPr>
            <w:tcW w:w="2308" w:type="dxa"/>
            <w:tcBorders>
              <w:top w:val="single" w:sz="6" w:space="0" w:color="FFFFFF"/>
              <w:left w:val="single" w:sz="6" w:space="0" w:color="FFFFFF"/>
              <w:bottom w:val="single" w:sz="18" w:space="0" w:color="FFFFFF"/>
              <w:right w:val="single" w:sz="6" w:space="0" w:color="FFFFFF"/>
            </w:tcBorders>
            <w:shd w:val="clear" w:color="auto" w:fill="5B9BD5"/>
            <w:tcMar>
              <w:left w:w="81" w:type="dxa"/>
              <w:right w:w="81" w:type="dxa"/>
            </w:tcMar>
          </w:tcPr>
          <w:p w:rsidR="001F21A5" w:rsidRDefault="007F534C">
            <w:r>
              <w:t>Video Surveillance</w:t>
            </w:r>
          </w:p>
        </w:tc>
        <w:tc>
          <w:tcPr>
            <w:tcW w:w="2192" w:type="dxa"/>
            <w:tcBorders>
              <w:top w:val="single" w:sz="6" w:space="0" w:color="FFFFFF"/>
              <w:left w:val="single" w:sz="6" w:space="0" w:color="FFFFFF"/>
              <w:bottom w:val="single" w:sz="18" w:space="0" w:color="FFFFFF"/>
              <w:right w:val="single" w:sz="6" w:space="0" w:color="FFFFFF"/>
            </w:tcBorders>
            <w:shd w:val="clear" w:color="auto" w:fill="EAEFF7"/>
            <w:tcMar>
              <w:left w:w="81" w:type="dxa"/>
              <w:right w:w="81" w:type="dxa"/>
            </w:tcMar>
          </w:tcPr>
          <w:p w:rsidR="001F21A5" w:rsidRDefault="007F534C">
            <w:r>
              <w:t>Economic: 2-4 Mbps</w:t>
            </w:r>
          </w:p>
          <w:p w:rsidR="001F21A5" w:rsidRDefault="007F534C">
            <w:r>
              <w:t>High end: 7.5-25 Mbps</w:t>
            </w:r>
          </w:p>
        </w:tc>
        <w:tc>
          <w:tcPr>
            <w:tcW w:w="1085" w:type="dxa"/>
            <w:tcBorders>
              <w:top w:val="single" w:sz="6" w:space="0" w:color="FFFFFF"/>
              <w:left w:val="single" w:sz="6" w:space="0" w:color="FFFFFF"/>
              <w:bottom w:val="single" w:sz="18" w:space="0" w:color="FFFFFF"/>
              <w:right w:val="single" w:sz="6" w:space="0" w:color="FFFFFF"/>
            </w:tcBorders>
            <w:shd w:val="clear" w:color="auto" w:fill="EAEFF7"/>
            <w:tcMar>
              <w:left w:w="81" w:type="dxa"/>
              <w:right w:w="81" w:type="dxa"/>
            </w:tcMar>
          </w:tcPr>
          <w:p w:rsidR="001F21A5" w:rsidRDefault="007F534C">
            <w:r>
              <w:t>500 ms</w:t>
            </w:r>
          </w:p>
        </w:tc>
        <w:tc>
          <w:tcPr>
            <w:tcW w:w="1280" w:type="dxa"/>
            <w:tcBorders>
              <w:top w:val="single" w:sz="6" w:space="0" w:color="FFFFFF"/>
              <w:left w:val="single" w:sz="6" w:space="0" w:color="FFFFFF"/>
              <w:bottom w:val="single" w:sz="18" w:space="0" w:color="FFFFFF"/>
              <w:right w:val="single" w:sz="6" w:space="0" w:color="FFFFFF"/>
            </w:tcBorders>
            <w:shd w:val="clear" w:color="auto" w:fill="EAEFF7"/>
            <w:tcMar>
              <w:left w:w="81" w:type="dxa"/>
              <w:right w:w="81" w:type="dxa"/>
            </w:tcMar>
          </w:tcPr>
          <w:p w:rsidR="001F21A5" w:rsidRDefault="007F534C">
            <w:r>
              <w:t>99%-99.99%</w:t>
            </w:r>
          </w:p>
        </w:tc>
        <w:tc>
          <w:tcPr>
            <w:tcW w:w="1535" w:type="dxa"/>
            <w:tcBorders>
              <w:top w:val="single" w:sz="6" w:space="0" w:color="FFFFFF"/>
              <w:left w:val="single" w:sz="6" w:space="0" w:color="FFFFFF"/>
              <w:bottom w:val="single" w:sz="18" w:space="0" w:color="FFFFFF"/>
              <w:right w:val="single" w:sz="6" w:space="0" w:color="FFFFFF"/>
            </w:tcBorders>
            <w:shd w:val="clear" w:color="auto" w:fill="EAEFF7"/>
            <w:tcMar>
              <w:left w:w="81" w:type="dxa"/>
              <w:right w:w="81" w:type="dxa"/>
            </w:tcMar>
          </w:tcPr>
          <w:p w:rsidR="001F21A5" w:rsidRDefault="007F534C">
            <w:r>
              <w:t>-</w:t>
            </w:r>
          </w:p>
        </w:tc>
      </w:tr>
      <w:tr w:rsidR="001F21A5">
        <w:trPr>
          <w:trHeight w:val="680"/>
          <w:tblCellSpacing w:w="0" w:type="dxa"/>
          <w:jc w:val="center"/>
        </w:trPr>
        <w:tc>
          <w:tcPr>
            <w:tcW w:w="2308" w:type="dxa"/>
            <w:tcBorders>
              <w:top w:val="single" w:sz="6" w:space="0" w:color="FFFFFF"/>
              <w:left w:val="single" w:sz="6" w:space="0" w:color="FFFFFF"/>
              <w:bottom w:val="single" w:sz="18" w:space="0" w:color="FFFFFF"/>
              <w:right w:val="single" w:sz="6" w:space="0" w:color="FFFFFF"/>
            </w:tcBorders>
            <w:shd w:val="clear" w:color="auto" w:fill="5B9BD5"/>
            <w:tcMar>
              <w:left w:w="81" w:type="dxa"/>
              <w:right w:w="81" w:type="dxa"/>
            </w:tcMar>
          </w:tcPr>
          <w:p w:rsidR="001F21A5" w:rsidRDefault="007F534C">
            <w:r>
              <w:t>Wearables</w:t>
            </w:r>
          </w:p>
        </w:tc>
        <w:tc>
          <w:tcPr>
            <w:tcW w:w="2192" w:type="dxa"/>
            <w:tcBorders>
              <w:top w:val="single" w:sz="6" w:space="0" w:color="FFFFFF"/>
              <w:left w:val="single" w:sz="6" w:space="0" w:color="FFFFFF"/>
              <w:bottom w:val="single" w:sz="18" w:space="0" w:color="FFFFFF"/>
              <w:right w:val="single" w:sz="6" w:space="0" w:color="FFFFFF"/>
            </w:tcBorders>
            <w:shd w:val="clear" w:color="auto" w:fill="D2DEEF"/>
            <w:tcMar>
              <w:left w:w="81" w:type="dxa"/>
              <w:right w:w="81" w:type="dxa"/>
            </w:tcMar>
          </w:tcPr>
          <w:p w:rsidR="001F21A5" w:rsidRDefault="007F534C">
            <w:r>
              <w:t>10-50 Mbps in DL</w:t>
            </w:r>
          </w:p>
          <w:p w:rsidR="001F21A5" w:rsidRDefault="007F534C">
            <w:r>
              <w:t>&gt; 5 Mbps in UL</w:t>
            </w:r>
          </w:p>
        </w:tc>
        <w:tc>
          <w:tcPr>
            <w:tcW w:w="1085" w:type="dxa"/>
            <w:tcBorders>
              <w:top w:val="single" w:sz="6" w:space="0" w:color="FFFFFF"/>
              <w:left w:val="single" w:sz="6" w:space="0" w:color="FFFFFF"/>
              <w:bottom w:val="single" w:sz="18" w:space="0" w:color="FFFFFF"/>
              <w:right w:val="single" w:sz="6" w:space="0" w:color="FFFFFF"/>
            </w:tcBorders>
            <w:shd w:val="clear" w:color="auto" w:fill="D2DEEF"/>
            <w:tcMar>
              <w:left w:w="81" w:type="dxa"/>
              <w:right w:w="81" w:type="dxa"/>
            </w:tcMar>
          </w:tcPr>
          <w:p w:rsidR="001F21A5" w:rsidRDefault="007F534C">
            <w:r>
              <w:t>-</w:t>
            </w:r>
          </w:p>
        </w:tc>
        <w:tc>
          <w:tcPr>
            <w:tcW w:w="1280" w:type="dxa"/>
            <w:tcBorders>
              <w:top w:val="single" w:sz="6" w:space="0" w:color="FFFFFF"/>
              <w:left w:val="single" w:sz="6" w:space="0" w:color="FFFFFF"/>
              <w:bottom w:val="single" w:sz="18" w:space="0" w:color="FFFFFF"/>
              <w:right w:val="single" w:sz="6" w:space="0" w:color="FFFFFF"/>
            </w:tcBorders>
            <w:shd w:val="clear" w:color="auto" w:fill="D2DEEF"/>
            <w:tcMar>
              <w:left w:w="81" w:type="dxa"/>
              <w:right w:w="81" w:type="dxa"/>
            </w:tcMar>
          </w:tcPr>
          <w:p w:rsidR="001F21A5" w:rsidRDefault="007F534C">
            <w:r>
              <w:t>-</w:t>
            </w:r>
          </w:p>
        </w:tc>
        <w:tc>
          <w:tcPr>
            <w:tcW w:w="1535" w:type="dxa"/>
            <w:tcBorders>
              <w:top w:val="single" w:sz="6" w:space="0" w:color="FFFFFF"/>
              <w:left w:val="single" w:sz="6" w:space="0" w:color="FFFFFF"/>
              <w:bottom w:val="single" w:sz="18" w:space="0" w:color="FFFFFF"/>
              <w:right w:val="single" w:sz="6" w:space="0" w:color="FFFFFF"/>
            </w:tcBorders>
            <w:shd w:val="clear" w:color="auto" w:fill="D2DEEF"/>
            <w:tcMar>
              <w:left w:w="81" w:type="dxa"/>
              <w:right w:w="81" w:type="dxa"/>
            </w:tcMar>
          </w:tcPr>
          <w:p w:rsidR="001F21A5" w:rsidRDefault="007F534C">
            <w:r>
              <w:t>up to 1-2 weeks</w:t>
            </w:r>
          </w:p>
        </w:tc>
      </w:tr>
    </w:tbl>
    <w:p w:rsidR="001F21A5" w:rsidRDefault="007F534C">
      <w:pPr>
        <w:rPr>
          <w:rFonts w:eastAsia="宋体"/>
          <w:lang w:val="en-US" w:eastAsia="zh-CN"/>
        </w:rPr>
      </w:pPr>
      <w:r>
        <w:rPr>
          <w:rFonts w:eastAsia="宋体" w:hint="eastAsia"/>
          <w:lang w:val="en-US" w:eastAsia="zh-CN"/>
        </w:rPr>
        <w:t>From table 1, it is seen that t</w:t>
      </w:r>
      <w:r>
        <w:rPr>
          <w:rFonts w:eastAsia="宋体"/>
          <w:lang w:val="en-US" w:eastAsia="zh-CN"/>
        </w:rPr>
        <w:t xml:space="preserve">he bit rate requirement of industrial </w:t>
      </w:r>
      <w:r>
        <w:rPr>
          <w:rFonts w:eastAsia="宋体"/>
          <w:lang w:val="en-US" w:eastAsia="zh-CN"/>
        </w:rPr>
        <w:t>wireless sensors is much lower than wearables.</w:t>
      </w:r>
      <w:r>
        <w:rPr>
          <w:rFonts w:eastAsia="宋体" w:hint="eastAsia"/>
          <w:lang w:val="en-US" w:eastAsia="zh-CN"/>
        </w:rPr>
        <w:t xml:space="preserve"> For the economic video surveillance and </w:t>
      </w:r>
      <w:r>
        <w:rPr>
          <w:rFonts w:eastAsia="宋体"/>
          <w:lang w:val="en-US" w:eastAsia="zh-CN"/>
        </w:rPr>
        <w:t>industrial wireless sensors</w:t>
      </w:r>
      <w:r>
        <w:rPr>
          <w:rFonts w:eastAsia="宋体" w:hint="eastAsia"/>
          <w:lang w:val="en-US" w:eastAsia="zh-CN"/>
        </w:rPr>
        <w:t>, the bit rate is no more than 5 Mbps.</w:t>
      </w:r>
    </w:p>
    <w:p w:rsidR="001F21A5" w:rsidRDefault="007F534C">
      <w:pPr>
        <w:rPr>
          <w:rFonts w:eastAsia="宋体"/>
          <w:b/>
          <w:bCs/>
          <w:i/>
          <w:iCs/>
          <w:lang w:val="en-US" w:eastAsia="zh-CN"/>
        </w:rPr>
      </w:pPr>
      <w:r>
        <w:rPr>
          <w:rFonts w:eastAsia="宋体" w:hint="eastAsia"/>
          <w:b/>
          <w:bCs/>
          <w:i/>
          <w:iCs/>
          <w:lang w:val="en-US" w:eastAsia="zh-CN"/>
        </w:rPr>
        <w:t>Observation 1: T</w:t>
      </w:r>
      <w:r>
        <w:rPr>
          <w:rFonts w:eastAsia="宋体"/>
          <w:b/>
          <w:bCs/>
          <w:i/>
          <w:iCs/>
          <w:lang w:val="en-US" w:eastAsia="zh-CN"/>
        </w:rPr>
        <w:t xml:space="preserve">he bit rate requirement of economic video surveillance and industrial wireless sensors </w:t>
      </w:r>
      <w:r>
        <w:rPr>
          <w:rFonts w:eastAsia="宋体"/>
          <w:b/>
          <w:bCs/>
          <w:i/>
          <w:iCs/>
          <w:lang w:val="en-US" w:eastAsia="zh-CN"/>
        </w:rPr>
        <w:t xml:space="preserve">is </w:t>
      </w:r>
      <w:r>
        <w:rPr>
          <w:rFonts w:eastAsia="宋体" w:hint="eastAsia"/>
          <w:b/>
          <w:bCs/>
          <w:i/>
          <w:iCs/>
          <w:lang w:val="en-US" w:eastAsia="zh-CN"/>
        </w:rPr>
        <w:t>no more</w:t>
      </w:r>
      <w:r>
        <w:rPr>
          <w:rFonts w:eastAsia="宋体"/>
          <w:b/>
          <w:bCs/>
          <w:i/>
          <w:iCs/>
          <w:lang w:val="en-US" w:eastAsia="zh-CN"/>
        </w:rPr>
        <w:t xml:space="preserve"> than </w:t>
      </w:r>
      <w:r>
        <w:rPr>
          <w:rFonts w:eastAsia="宋体" w:hint="eastAsia"/>
          <w:b/>
          <w:bCs/>
          <w:i/>
          <w:iCs/>
          <w:lang w:val="en-US" w:eastAsia="zh-CN"/>
        </w:rPr>
        <w:t>5Mbps.</w:t>
      </w:r>
    </w:p>
    <w:p w:rsidR="001F21A5" w:rsidRDefault="007F534C">
      <w:pPr>
        <w:rPr>
          <w:rFonts w:eastAsia="宋体"/>
          <w:lang w:val="en-US" w:eastAsia="zh-CN"/>
        </w:rPr>
      </w:pPr>
      <w:r>
        <w:rPr>
          <w:rFonts w:eastAsia="宋体" w:hint="eastAsia"/>
          <w:lang w:val="en-US" w:eastAsia="zh-CN"/>
        </w:rPr>
        <w:t xml:space="preserve">In table 2, data rate for the different UE bandwidth is given. It is seen that the DL and UL peak data rate for 5 MHz channel bandwidth (15 kHz SCS) is around 20 Mbps. It can meet data rate requirement of industrial wireless sensors </w:t>
      </w:r>
      <w:r>
        <w:rPr>
          <w:rFonts w:eastAsia="宋体" w:hint="eastAsia"/>
          <w:lang w:val="en-US" w:eastAsia="zh-CN"/>
        </w:rPr>
        <w:t>and some of the low-end video surveillance applications.</w:t>
      </w:r>
    </w:p>
    <w:p w:rsidR="001F21A5" w:rsidRDefault="007F534C">
      <w:pPr>
        <w:jc w:val="center"/>
        <w:rPr>
          <w:rFonts w:eastAsia="宋体"/>
          <w:lang w:val="en-US" w:eastAsia="zh-CN"/>
        </w:rPr>
      </w:pPr>
      <w:r>
        <w:rPr>
          <w:rFonts w:eastAsia="宋体" w:hint="eastAsia"/>
          <w:lang w:val="en-US" w:eastAsia="zh-CN"/>
        </w:rPr>
        <w:t>Table 2. Data rate for 5MHz RedCap UE</w:t>
      </w:r>
    </w:p>
    <w:tbl>
      <w:tblPr>
        <w:tblW w:w="7696" w:type="dxa"/>
        <w:jc w:val="center"/>
        <w:tblCellSpacing w:w="0" w:type="dxa"/>
        <w:tblLayout w:type="fixed"/>
        <w:tblCellMar>
          <w:left w:w="0" w:type="dxa"/>
          <w:right w:w="0" w:type="dxa"/>
        </w:tblCellMar>
        <w:tblLook w:val="04A0" w:firstRow="1" w:lastRow="0" w:firstColumn="1" w:lastColumn="0" w:noHBand="0" w:noVBand="1"/>
      </w:tblPr>
      <w:tblGrid>
        <w:gridCol w:w="1662"/>
        <w:gridCol w:w="1292"/>
        <w:gridCol w:w="1350"/>
        <w:gridCol w:w="1696"/>
        <w:gridCol w:w="1696"/>
      </w:tblGrid>
      <w:tr w:rsidR="001F21A5">
        <w:trPr>
          <w:trHeight w:val="660"/>
          <w:tblCellSpacing w:w="0" w:type="dxa"/>
          <w:jc w:val="center"/>
        </w:trPr>
        <w:tc>
          <w:tcPr>
            <w:tcW w:w="1662" w:type="dxa"/>
            <w:tcBorders>
              <w:top w:val="single" w:sz="6" w:space="0" w:color="FFFFFF"/>
              <w:left w:val="single" w:sz="6" w:space="0" w:color="FFFFFF"/>
              <w:bottom w:val="single" w:sz="6" w:space="0" w:color="FFFFFF"/>
              <w:right w:val="single" w:sz="6" w:space="0" w:color="FFFFFF"/>
            </w:tcBorders>
            <w:shd w:val="clear" w:color="auto" w:fill="ADB9CA"/>
            <w:tcMar>
              <w:left w:w="81" w:type="dxa"/>
              <w:right w:w="81" w:type="dxa"/>
            </w:tcMar>
          </w:tcPr>
          <w:p w:rsidR="001F21A5" w:rsidRDefault="007F534C">
            <w:r>
              <w:t>Maximum UE bandwidth (MHz)</w:t>
            </w:r>
          </w:p>
        </w:tc>
        <w:tc>
          <w:tcPr>
            <w:tcW w:w="1292" w:type="dxa"/>
            <w:tcBorders>
              <w:top w:val="single" w:sz="6" w:space="0" w:color="FFFFFF"/>
              <w:left w:val="single" w:sz="6" w:space="0" w:color="FFFFFF"/>
              <w:bottom w:val="single" w:sz="6" w:space="0" w:color="FFFFFF"/>
              <w:right w:val="single" w:sz="6" w:space="0" w:color="FFFFFF"/>
            </w:tcBorders>
            <w:shd w:val="clear" w:color="auto" w:fill="ADB9CA"/>
            <w:tcMar>
              <w:left w:w="81" w:type="dxa"/>
              <w:right w:w="81" w:type="dxa"/>
            </w:tcMar>
          </w:tcPr>
          <w:p w:rsidR="001F21A5" w:rsidRDefault="007F534C">
            <w:r>
              <w:t>Number of MIMO layers</w:t>
            </w:r>
          </w:p>
        </w:tc>
        <w:tc>
          <w:tcPr>
            <w:tcW w:w="1350" w:type="dxa"/>
            <w:tcBorders>
              <w:top w:val="single" w:sz="6" w:space="0" w:color="FFFFFF"/>
              <w:left w:val="single" w:sz="6" w:space="0" w:color="FFFFFF"/>
              <w:bottom w:val="single" w:sz="6" w:space="0" w:color="FFFFFF"/>
              <w:right w:val="single" w:sz="6" w:space="0" w:color="FFFFFF"/>
            </w:tcBorders>
            <w:shd w:val="clear" w:color="auto" w:fill="ADB9CA"/>
            <w:tcMar>
              <w:left w:w="81" w:type="dxa"/>
              <w:right w:w="81" w:type="dxa"/>
            </w:tcMar>
          </w:tcPr>
          <w:p w:rsidR="001F21A5" w:rsidRDefault="007F534C">
            <w:r>
              <w:t>Maximum modulation order</w:t>
            </w:r>
          </w:p>
        </w:tc>
        <w:tc>
          <w:tcPr>
            <w:tcW w:w="1696" w:type="dxa"/>
            <w:tcBorders>
              <w:top w:val="single" w:sz="6" w:space="0" w:color="FFFFFF"/>
              <w:left w:val="single" w:sz="6" w:space="0" w:color="FFFFFF"/>
              <w:bottom w:val="single" w:sz="6" w:space="0" w:color="FFFFFF"/>
              <w:right w:val="single" w:sz="6" w:space="0" w:color="FFFFFF"/>
            </w:tcBorders>
            <w:shd w:val="clear" w:color="auto" w:fill="ADB9CA"/>
            <w:tcMar>
              <w:left w:w="81" w:type="dxa"/>
              <w:right w:w="81" w:type="dxa"/>
            </w:tcMar>
          </w:tcPr>
          <w:p w:rsidR="001F21A5" w:rsidRDefault="007F534C">
            <w:r>
              <w:t>DL peak data rate (Mbps)</w:t>
            </w:r>
          </w:p>
        </w:tc>
        <w:tc>
          <w:tcPr>
            <w:tcW w:w="1696" w:type="dxa"/>
            <w:tcBorders>
              <w:top w:val="single" w:sz="6" w:space="0" w:color="FFFFFF"/>
              <w:left w:val="single" w:sz="6" w:space="0" w:color="FFFFFF"/>
              <w:bottom w:val="single" w:sz="6" w:space="0" w:color="FFFFFF"/>
              <w:right w:val="single" w:sz="6" w:space="0" w:color="FFFFFF"/>
            </w:tcBorders>
            <w:shd w:val="clear" w:color="auto" w:fill="ADB9CA"/>
            <w:tcMar>
              <w:left w:w="81" w:type="dxa"/>
              <w:right w:w="81" w:type="dxa"/>
            </w:tcMar>
          </w:tcPr>
          <w:p w:rsidR="001F21A5" w:rsidRDefault="007F534C">
            <w:r>
              <w:t>UL peak data rate (Mbps)</w:t>
            </w:r>
          </w:p>
        </w:tc>
      </w:tr>
      <w:tr w:rsidR="001F21A5">
        <w:trPr>
          <w:trHeight w:val="320"/>
          <w:tblCellSpacing w:w="0" w:type="dxa"/>
          <w:jc w:val="center"/>
        </w:trPr>
        <w:tc>
          <w:tcPr>
            <w:tcW w:w="1662"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r>
              <w:t>5</w:t>
            </w:r>
          </w:p>
        </w:tc>
        <w:tc>
          <w:tcPr>
            <w:tcW w:w="1292" w:type="dxa"/>
            <w:vMerge w:val="restart"/>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vAlign w:val="center"/>
          </w:tcPr>
          <w:p w:rsidR="001F21A5" w:rsidRDefault="007F534C">
            <w:r>
              <w:t xml:space="preserve">1 </w:t>
            </w:r>
          </w:p>
        </w:tc>
        <w:tc>
          <w:tcPr>
            <w:tcW w:w="1350" w:type="dxa"/>
            <w:vMerge w:val="restart"/>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vAlign w:val="center"/>
          </w:tcPr>
          <w:p w:rsidR="001F21A5" w:rsidRDefault="007F534C">
            <w:pPr>
              <w:rPr>
                <w:rFonts w:eastAsia="宋体"/>
                <w:lang w:val="en-US" w:eastAsia="zh-CN"/>
              </w:rPr>
            </w:pPr>
            <w:r>
              <w:t>64QAM</w:t>
            </w:r>
          </w:p>
        </w:tc>
        <w:tc>
          <w:tcPr>
            <w:tcW w:w="1696"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pPr>
              <w:rPr>
                <w:rFonts w:eastAsia="宋体"/>
                <w:lang w:val="en-US" w:eastAsia="zh-CN"/>
              </w:rPr>
            </w:pPr>
            <w:r>
              <w:rPr>
                <w:b/>
                <w:bCs/>
              </w:rPr>
              <w:t>20</w:t>
            </w:r>
          </w:p>
        </w:tc>
        <w:tc>
          <w:tcPr>
            <w:tcW w:w="1696"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pPr>
              <w:rPr>
                <w:rFonts w:eastAsia="宋体"/>
                <w:lang w:val="en-US" w:eastAsia="zh-CN"/>
              </w:rPr>
            </w:pPr>
            <w:r>
              <w:rPr>
                <w:rFonts w:eastAsia="宋体" w:hint="eastAsia"/>
                <w:b/>
                <w:bCs/>
                <w:lang w:val="en-US" w:eastAsia="zh-CN"/>
              </w:rPr>
              <w:t>21</w:t>
            </w:r>
          </w:p>
        </w:tc>
      </w:tr>
      <w:tr w:rsidR="001F21A5">
        <w:trPr>
          <w:trHeight w:val="320"/>
          <w:tblCellSpacing w:w="0" w:type="dxa"/>
          <w:jc w:val="center"/>
        </w:trPr>
        <w:tc>
          <w:tcPr>
            <w:tcW w:w="1662"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r>
              <w:t>10</w:t>
            </w:r>
          </w:p>
        </w:tc>
        <w:tc>
          <w:tcPr>
            <w:tcW w:w="1292" w:type="dxa"/>
            <w:vMerge/>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vAlign w:val="center"/>
          </w:tcPr>
          <w:p w:rsidR="001F21A5" w:rsidRDefault="001F21A5"/>
        </w:tc>
        <w:tc>
          <w:tcPr>
            <w:tcW w:w="1350" w:type="dxa"/>
            <w:vMerge/>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vAlign w:val="center"/>
          </w:tcPr>
          <w:p w:rsidR="001F21A5" w:rsidRDefault="001F21A5"/>
        </w:tc>
        <w:tc>
          <w:tcPr>
            <w:tcW w:w="1696"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r>
              <w:t>42</w:t>
            </w:r>
          </w:p>
        </w:tc>
        <w:tc>
          <w:tcPr>
            <w:tcW w:w="1696"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pPr>
              <w:rPr>
                <w:rFonts w:eastAsia="宋体"/>
                <w:lang w:val="en-US" w:eastAsia="zh-CN"/>
              </w:rPr>
            </w:pPr>
            <w:r>
              <w:rPr>
                <w:rFonts w:eastAsia="宋体" w:hint="eastAsia"/>
                <w:lang w:val="en-US" w:eastAsia="zh-CN"/>
              </w:rPr>
              <w:t>44</w:t>
            </w:r>
          </w:p>
        </w:tc>
      </w:tr>
      <w:tr w:rsidR="001F21A5">
        <w:trPr>
          <w:trHeight w:val="320"/>
          <w:tblCellSpacing w:w="0" w:type="dxa"/>
          <w:jc w:val="center"/>
        </w:trPr>
        <w:tc>
          <w:tcPr>
            <w:tcW w:w="1662"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r>
              <w:t>20</w:t>
            </w:r>
          </w:p>
        </w:tc>
        <w:tc>
          <w:tcPr>
            <w:tcW w:w="1292" w:type="dxa"/>
            <w:vMerge/>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vAlign w:val="center"/>
          </w:tcPr>
          <w:p w:rsidR="001F21A5" w:rsidRDefault="001F21A5"/>
        </w:tc>
        <w:tc>
          <w:tcPr>
            <w:tcW w:w="1350" w:type="dxa"/>
            <w:vMerge/>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vAlign w:val="center"/>
          </w:tcPr>
          <w:p w:rsidR="001F21A5" w:rsidRDefault="001F21A5"/>
        </w:tc>
        <w:tc>
          <w:tcPr>
            <w:tcW w:w="1696"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r>
              <w:t>85</w:t>
            </w:r>
          </w:p>
        </w:tc>
        <w:tc>
          <w:tcPr>
            <w:tcW w:w="1696"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pPr>
              <w:rPr>
                <w:rFonts w:eastAsia="宋体"/>
                <w:lang w:val="en-US" w:eastAsia="zh-CN"/>
              </w:rPr>
            </w:pPr>
            <w:r>
              <w:rPr>
                <w:rFonts w:eastAsia="宋体" w:hint="eastAsia"/>
                <w:lang w:val="en-US" w:eastAsia="zh-CN"/>
              </w:rPr>
              <w:t>90</w:t>
            </w:r>
          </w:p>
        </w:tc>
      </w:tr>
      <w:tr w:rsidR="001F21A5">
        <w:trPr>
          <w:trHeight w:val="320"/>
          <w:tblCellSpacing w:w="0" w:type="dxa"/>
          <w:jc w:val="center"/>
        </w:trPr>
        <w:tc>
          <w:tcPr>
            <w:tcW w:w="1662"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r>
              <w:t>40</w:t>
            </w:r>
          </w:p>
        </w:tc>
        <w:tc>
          <w:tcPr>
            <w:tcW w:w="1292" w:type="dxa"/>
            <w:vMerge/>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vAlign w:val="center"/>
          </w:tcPr>
          <w:p w:rsidR="001F21A5" w:rsidRDefault="001F21A5"/>
        </w:tc>
        <w:tc>
          <w:tcPr>
            <w:tcW w:w="1350" w:type="dxa"/>
            <w:vMerge/>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vAlign w:val="center"/>
          </w:tcPr>
          <w:p w:rsidR="001F21A5" w:rsidRDefault="001F21A5"/>
        </w:tc>
        <w:tc>
          <w:tcPr>
            <w:tcW w:w="1696"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r>
              <w:t>172</w:t>
            </w:r>
          </w:p>
        </w:tc>
        <w:tc>
          <w:tcPr>
            <w:tcW w:w="1696" w:type="dxa"/>
            <w:tcBorders>
              <w:top w:val="single" w:sz="6" w:space="0" w:color="FFFFFF"/>
              <w:left w:val="single" w:sz="6" w:space="0" w:color="FFFFFF"/>
              <w:bottom w:val="single" w:sz="6" w:space="0" w:color="FFFFFF"/>
              <w:right w:val="single" w:sz="6" w:space="0" w:color="FFFFFF"/>
            </w:tcBorders>
            <w:shd w:val="clear" w:color="auto" w:fill="EAEFF7"/>
            <w:tcMar>
              <w:left w:w="81" w:type="dxa"/>
              <w:right w:w="81" w:type="dxa"/>
            </w:tcMar>
          </w:tcPr>
          <w:p w:rsidR="001F21A5" w:rsidRDefault="007F534C">
            <w:pPr>
              <w:rPr>
                <w:rFonts w:eastAsia="宋体"/>
                <w:lang w:val="en-US" w:eastAsia="zh-CN"/>
              </w:rPr>
            </w:pPr>
            <w:r>
              <w:rPr>
                <w:rFonts w:eastAsia="宋体" w:hint="eastAsia"/>
                <w:lang w:val="en-US" w:eastAsia="zh-CN"/>
              </w:rPr>
              <w:t>183</w:t>
            </w:r>
          </w:p>
        </w:tc>
      </w:tr>
    </w:tbl>
    <w:p w:rsidR="001F21A5" w:rsidRDefault="001F21A5">
      <w:pPr>
        <w:rPr>
          <w:rFonts w:eastAsia="宋体"/>
          <w:lang w:val="en-US" w:eastAsia="zh-CN"/>
        </w:rPr>
      </w:pPr>
    </w:p>
    <w:p w:rsidR="001F21A5" w:rsidRDefault="007F534C">
      <w:pPr>
        <w:rPr>
          <w:rFonts w:eastAsia="宋体"/>
          <w:b/>
          <w:bCs/>
          <w:i/>
          <w:iCs/>
          <w:lang w:val="en-US" w:eastAsia="zh-CN"/>
        </w:rPr>
      </w:pPr>
      <w:r>
        <w:rPr>
          <w:rFonts w:eastAsia="宋体" w:hint="eastAsia"/>
          <w:b/>
          <w:bCs/>
          <w:i/>
          <w:iCs/>
          <w:lang w:val="en-US" w:eastAsia="zh-CN"/>
        </w:rPr>
        <w:t>Observation 2: For 5MHz bandwidth RedCap UE, data rate requirement of industrial wireless sensors and economic video surveillance applications can be satisfied.</w:t>
      </w:r>
    </w:p>
    <w:p w:rsidR="001F21A5" w:rsidRDefault="007F534C">
      <w:pPr>
        <w:rPr>
          <w:rFonts w:eastAsia="宋体"/>
          <w:lang w:val="en-US" w:eastAsia="zh-CN"/>
        </w:rPr>
      </w:pPr>
      <w:r>
        <w:rPr>
          <w:rFonts w:eastAsia="宋体" w:hint="eastAsia"/>
          <w:lang w:val="en-US" w:eastAsia="zh-CN"/>
        </w:rPr>
        <w:lastRenderedPageBreak/>
        <w:t>Additionally, f</w:t>
      </w:r>
      <w:r>
        <w:rPr>
          <w:rFonts w:eastAsia="宋体"/>
          <w:lang w:val="en-US" w:eastAsia="zh-CN"/>
        </w:rPr>
        <w:t>urther reducing FR1 RedCap UE maximum bandwidth</w:t>
      </w:r>
      <w:r>
        <w:rPr>
          <w:rFonts w:eastAsia="宋体" w:hint="eastAsia"/>
          <w:lang w:val="en-US" w:eastAsia="zh-CN"/>
        </w:rPr>
        <w:t xml:space="preserve"> brings UE cost reduction. More specifically, further bandwidth reduction brings significant impact on the ADC / DAC, HARQ buffer, LDPC decoding, UL processing block, which causes the cost reduction. As a rough estimate, compared with current RedCap UE, mo</w:t>
      </w:r>
      <w:r>
        <w:rPr>
          <w:rFonts w:eastAsia="宋体" w:hint="eastAsia"/>
          <w:lang w:val="en-US" w:eastAsia="zh-CN"/>
        </w:rPr>
        <w:t xml:space="preserve">re than 10% cost reduction can be expected for 5MHz UE. </w:t>
      </w:r>
    </w:p>
    <w:p w:rsidR="001F21A5" w:rsidRDefault="007F534C">
      <w:pPr>
        <w:rPr>
          <w:rFonts w:eastAsia="宋体"/>
          <w:b/>
          <w:bCs/>
          <w:i/>
          <w:iCs/>
          <w:lang w:val="en-US" w:eastAsia="zh-CN"/>
        </w:rPr>
      </w:pPr>
      <w:r>
        <w:rPr>
          <w:rFonts w:eastAsia="宋体" w:hint="eastAsia"/>
          <w:b/>
          <w:bCs/>
          <w:i/>
          <w:iCs/>
          <w:lang w:val="en-US" w:eastAsia="zh-CN"/>
        </w:rPr>
        <w:t>Observation 3: Compared with current RedCap UE, more than 10% cost reduction can be expected for 5MHz UE</w:t>
      </w:r>
      <w:r>
        <w:rPr>
          <w:rFonts w:eastAsia="宋体"/>
          <w:b/>
          <w:bCs/>
          <w:i/>
          <w:iCs/>
          <w:lang w:val="en-US" w:eastAsia="zh-CN"/>
        </w:rPr>
        <w:t>.</w:t>
      </w:r>
    </w:p>
    <w:p w:rsidR="001F21A5" w:rsidRDefault="007F534C">
      <w:pPr>
        <w:jc w:val="left"/>
        <w:rPr>
          <w:lang w:val="en-US" w:eastAsia="zh-CN"/>
        </w:rPr>
      </w:pPr>
      <w:r>
        <w:rPr>
          <w:rFonts w:eastAsia="宋体" w:hint="eastAsia"/>
          <w:lang w:val="en-US" w:eastAsia="zh-CN"/>
        </w:rPr>
        <w:t>For SSB reception with 15KHz, the bandwidth is 3.6MHz, which means 5MHz UE can receive the 15</w:t>
      </w:r>
      <w:r>
        <w:rPr>
          <w:rFonts w:eastAsia="宋体" w:hint="eastAsia"/>
          <w:lang w:val="en-US" w:eastAsia="zh-CN"/>
        </w:rPr>
        <w:t>KHz SSB without any impact. For the SSB with 30KHz, the bandwidth is 7.2MHz,,the SSB receiving restriction may happen. Performance loss may be acceptable since SSB performance has a large gap relative to the performance of coverage limited channel. Moreove</w:t>
      </w:r>
      <w:r>
        <w:rPr>
          <w:rFonts w:eastAsia="宋体" w:hint="eastAsia"/>
          <w:lang w:val="en-US" w:eastAsia="zh-CN"/>
        </w:rPr>
        <w:t>r, SSB repetition can still provide some performance compensation, e.g keep trying.</w:t>
      </w:r>
      <w:r>
        <w:rPr>
          <w:rFonts w:hint="eastAsia"/>
          <w:lang w:val="en-US" w:eastAsia="zh-CN"/>
        </w:rPr>
        <w:t xml:space="preserve"> Further, how to evaluate the performance loss and address these issues by further bandwidth redu</w:t>
      </w:r>
      <w:r w:rsidR="006F3D7A">
        <w:rPr>
          <w:rFonts w:hint="eastAsia"/>
          <w:lang w:val="en-US" w:eastAsia="zh-CN"/>
        </w:rPr>
        <w:t xml:space="preserve">ction can be discussed in </w:t>
      </w:r>
      <w:r w:rsidR="006F3D7A">
        <w:rPr>
          <w:lang w:val="en-US" w:eastAsia="zh-CN"/>
        </w:rPr>
        <w:t>a</w:t>
      </w:r>
      <w:r w:rsidR="006F3D7A">
        <w:rPr>
          <w:rFonts w:hint="eastAsia"/>
          <w:lang w:val="en-US" w:eastAsia="zh-CN"/>
        </w:rPr>
        <w:t xml:space="preserve"> </w:t>
      </w:r>
      <w:r w:rsidR="006F3D7A">
        <w:rPr>
          <w:lang w:val="en-US" w:eastAsia="zh-CN"/>
        </w:rPr>
        <w:t>study</w:t>
      </w:r>
      <w:r>
        <w:rPr>
          <w:rFonts w:hint="eastAsia"/>
          <w:lang w:val="en-US" w:eastAsia="zh-CN"/>
        </w:rPr>
        <w:t xml:space="preserve"> </w:t>
      </w:r>
      <w:r w:rsidR="006F3D7A">
        <w:rPr>
          <w:lang w:val="en-US" w:eastAsia="zh-CN"/>
        </w:rPr>
        <w:t>phase</w:t>
      </w:r>
      <w:r>
        <w:rPr>
          <w:rFonts w:hint="eastAsia"/>
          <w:lang w:val="en-US" w:eastAsia="zh-CN"/>
        </w:rPr>
        <w:t>. Considering the above benefits, it i</w:t>
      </w:r>
      <w:r>
        <w:rPr>
          <w:rFonts w:hint="eastAsia"/>
          <w:lang w:val="en-US" w:eastAsia="zh-CN"/>
        </w:rPr>
        <w:t xml:space="preserve">s proposed to consider further UE bandwidth reduction in release 18. </w:t>
      </w:r>
    </w:p>
    <w:p w:rsidR="001F21A5" w:rsidRDefault="007F534C">
      <w:pPr>
        <w:rPr>
          <w:b/>
          <w:bCs/>
          <w:i/>
          <w:iCs/>
          <w:lang w:val="en-US" w:eastAsia="zh-CN"/>
        </w:rPr>
      </w:pPr>
      <w:r>
        <w:rPr>
          <w:rFonts w:hint="eastAsia"/>
          <w:b/>
          <w:bCs/>
          <w:i/>
          <w:iCs/>
          <w:lang w:val="en-US" w:eastAsia="zh-CN"/>
        </w:rPr>
        <w:t>Proposal 1: RedCap UE with 5 MHz bandwidth for FR1 should be considered in release 18 and</w:t>
      </w:r>
      <w:r w:rsidR="006F3D7A">
        <w:rPr>
          <w:b/>
          <w:bCs/>
          <w:i/>
          <w:iCs/>
          <w:lang w:val="en-US" w:eastAsia="zh-CN"/>
        </w:rPr>
        <w:t xml:space="preserve"> performance can</w:t>
      </w:r>
      <w:r>
        <w:rPr>
          <w:rFonts w:hint="eastAsia"/>
          <w:b/>
          <w:bCs/>
          <w:i/>
          <w:iCs/>
          <w:lang w:val="en-US" w:eastAsia="zh-CN"/>
        </w:rPr>
        <w:t xml:space="preserve"> </w:t>
      </w:r>
      <w:r w:rsidR="006F3D7A">
        <w:rPr>
          <w:b/>
          <w:bCs/>
          <w:i/>
          <w:iCs/>
          <w:lang w:val="en-US" w:eastAsia="zh-CN"/>
        </w:rPr>
        <w:t>be</w:t>
      </w:r>
      <w:r>
        <w:rPr>
          <w:rFonts w:hint="eastAsia"/>
          <w:b/>
          <w:bCs/>
          <w:i/>
          <w:iCs/>
          <w:lang w:val="en-US" w:eastAsia="zh-CN"/>
        </w:rPr>
        <w:t xml:space="preserve"> evaluated in </w:t>
      </w:r>
      <w:r w:rsidR="006F3D7A">
        <w:rPr>
          <w:b/>
          <w:bCs/>
          <w:i/>
          <w:iCs/>
          <w:lang w:val="en-US" w:eastAsia="zh-CN"/>
        </w:rPr>
        <w:t>a study</w:t>
      </w:r>
      <w:r>
        <w:rPr>
          <w:rFonts w:hint="eastAsia"/>
          <w:b/>
          <w:bCs/>
          <w:i/>
          <w:iCs/>
          <w:lang w:val="en-US" w:eastAsia="zh-CN"/>
        </w:rPr>
        <w:t xml:space="preserve"> </w:t>
      </w:r>
      <w:r w:rsidR="006F3D7A">
        <w:rPr>
          <w:b/>
          <w:bCs/>
          <w:i/>
          <w:iCs/>
          <w:lang w:val="en-US" w:eastAsia="zh-CN"/>
        </w:rPr>
        <w:t>phase</w:t>
      </w:r>
      <w:r>
        <w:rPr>
          <w:rFonts w:hint="eastAsia"/>
          <w:b/>
          <w:bCs/>
          <w:i/>
          <w:iCs/>
          <w:lang w:val="en-US" w:eastAsia="zh-CN"/>
        </w:rPr>
        <w:t>.</w:t>
      </w:r>
    </w:p>
    <w:p w:rsidR="001F21A5" w:rsidRDefault="007F534C">
      <w:pPr>
        <w:rPr>
          <w:rFonts w:eastAsia="宋体"/>
          <w:lang w:val="en-US" w:eastAsia="zh-CN"/>
        </w:rPr>
      </w:pPr>
      <w:r>
        <w:rPr>
          <w:rFonts w:hint="eastAsia"/>
          <w:lang w:val="en-US" w:eastAsia="zh-CN"/>
        </w:rPr>
        <w:t>Besides the 5MHz bandwidth, there are some other potential en</w:t>
      </w:r>
      <w:r>
        <w:rPr>
          <w:rFonts w:hint="eastAsia"/>
          <w:lang w:val="en-US" w:eastAsia="zh-CN"/>
        </w:rPr>
        <w:t>hancements could be considered. For example, even though the bandwidth is reduced, the peak rate for the 5MHz bandwidth still has a large margin relative to the data rate for</w:t>
      </w:r>
      <w:r>
        <w:rPr>
          <w:rFonts w:eastAsia="宋体" w:hint="eastAsia"/>
          <w:lang w:val="en-US" w:eastAsia="zh-CN"/>
        </w:rPr>
        <w:t xml:space="preserve"> economic video surveillance and </w:t>
      </w:r>
      <w:r>
        <w:rPr>
          <w:rFonts w:eastAsia="宋体"/>
          <w:lang w:val="en-US" w:eastAsia="zh-CN"/>
        </w:rPr>
        <w:t>industrial wireless sensors</w:t>
      </w:r>
      <w:r>
        <w:rPr>
          <w:rFonts w:eastAsia="宋体" w:hint="eastAsia"/>
          <w:lang w:val="en-US" w:eastAsia="zh-CN"/>
        </w:rPr>
        <w:t xml:space="preserve"> actually. Therefore, </w:t>
      </w:r>
      <w:r>
        <w:rPr>
          <w:rFonts w:eastAsia="宋体" w:hint="eastAsia"/>
          <w:lang w:val="en-US" w:eastAsia="zh-CN"/>
        </w:rPr>
        <w:t>further complexity and cost reduction by reducing the modulation order and HARQ processes number can be considered.</w:t>
      </w:r>
    </w:p>
    <w:p w:rsidR="001F21A5" w:rsidRDefault="007F534C">
      <w:pPr>
        <w:rPr>
          <w:rFonts w:eastAsia="宋体"/>
          <w:lang w:val="en-US" w:eastAsia="zh-CN"/>
        </w:rPr>
      </w:pPr>
      <w:r>
        <w:rPr>
          <w:rFonts w:eastAsia="宋体" w:hint="eastAsia"/>
          <w:lang w:val="en-US" w:eastAsia="zh-CN"/>
        </w:rPr>
        <w:t>Additionally, considering there exists the indoor coverage scenarios, the lower power class UE also can work well and the cost of the termin</w:t>
      </w:r>
      <w:r>
        <w:rPr>
          <w:rFonts w:eastAsia="宋体" w:hint="eastAsia"/>
          <w:lang w:val="en-US" w:eastAsia="zh-CN"/>
        </w:rPr>
        <w:t>al can be further reduced. In this case, it is not hoped that the coverage enhancement for lower power class UE is also considered in Rel-18, since coverage enhancement for lower power class UE would greatly affect network capacity. Therefore, the lower po</w:t>
      </w:r>
      <w:r>
        <w:rPr>
          <w:rFonts w:eastAsia="宋体" w:hint="eastAsia"/>
          <w:lang w:val="en-US" w:eastAsia="zh-CN"/>
        </w:rPr>
        <w:t>wer class UE only should be considered for small scale coverage scene.</w:t>
      </w:r>
    </w:p>
    <w:p w:rsidR="001F21A5" w:rsidRDefault="007F534C">
      <w:pPr>
        <w:rPr>
          <w:b/>
          <w:bCs/>
          <w:i/>
          <w:iCs/>
          <w:lang w:val="en-US" w:eastAsia="zh-CN"/>
        </w:rPr>
      </w:pPr>
      <w:r>
        <w:rPr>
          <w:rFonts w:hint="eastAsia"/>
          <w:b/>
          <w:bCs/>
          <w:i/>
          <w:iCs/>
          <w:lang w:val="en-US" w:eastAsia="zh-CN"/>
        </w:rPr>
        <w:t>Proposal 2: HARQ processes number/HARQ buffer reduction, modulation order reduction, and lower UE power class can be considered in Rel-18 NR RedCap WID scope.</w:t>
      </w:r>
    </w:p>
    <w:p w:rsidR="001F21A5" w:rsidRDefault="007F534C">
      <w:pPr>
        <w:numPr>
          <w:ilvl w:val="0"/>
          <w:numId w:val="6"/>
        </w:numPr>
        <w:spacing w:after="240"/>
        <w:rPr>
          <w:b/>
          <w:bCs/>
          <w:i/>
          <w:iCs/>
          <w:lang w:val="en-US" w:eastAsia="zh-CN"/>
        </w:rPr>
      </w:pPr>
      <w:r>
        <w:rPr>
          <w:rFonts w:hint="eastAsia"/>
          <w:b/>
          <w:bCs/>
          <w:i/>
          <w:iCs/>
          <w:lang w:val="en-US" w:eastAsia="zh-CN"/>
        </w:rPr>
        <w:t>Coverage enhancement shoul</w:t>
      </w:r>
      <w:r>
        <w:rPr>
          <w:rFonts w:hint="eastAsia"/>
          <w:b/>
          <w:bCs/>
          <w:i/>
          <w:iCs/>
          <w:lang w:val="en-US" w:eastAsia="zh-CN"/>
        </w:rPr>
        <w:t xml:space="preserve">d not be considered for lower UE power class. </w:t>
      </w:r>
    </w:p>
    <w:p w:rsidR="001F21A5" w:rsidRDefault="007F534C">
      <w:pPr>
        <w:pStyle w:val="1"/>
        <w:spacing w:beforeLines="0" w:afterLines="50" w:after="180"/>
      </w:pPr>
      <w:r>
        <w:rPr>
          <w:rFonts w:hint="eastAsia"/>
        </w:rPr>
        <w:t>Conclusion</w:t>
      </w:r>
    </w:p>
    <w:p w:rsidR="001F21A5" w:rsidRDefault="007F534C">
      <w:pPr>
        <w:rPr>
          <w:rFonts w:eastAsia="宋体"/>
          <w:lang w:val="en-US" w:eastAsia="zh-CN"/>
        </w:rPr>
      </w:pPr>
      <w:r>
        <w:rPr>
          <w:rFonts w:eastAsia="宋体" w:hint="eastAsia"/>
          <w:lang w:val="en-US" w:eastAsia="zh-CN"/>
        </w:rPr>
        <w:t>According to the analysis given above, we have the following observations and proposals:</w:t>
      </w:r>
    </w:p>
    <w:p w:rsidR="001F21A5" w:rsidRDefault="007F534C">
      <w:pPr>
        <w:rPr>
          <w:rFonts w:eastAsia="宋体"/>
          <w:b/>
          <w:bCs/>
          <w:i/>
          <w:iCs/>
          <w:lang w:val="en-US" w:eastAsia="zh-CN"/>
        </w:rPr>
      </w:pPr>
      <w:r>
        <w:rPr>
          <w:rFonts w:eastAsia="宋体" w:hint="eastAsia"/>
          <w:b/>
          <w:bCs/>
          <w:i/>
          <w:iCs/>
          <w:lang w:val="en-US" w:eastAsia="zh-CN"/>
        </w:rPr>
        <w:t>Observation 1: T</w:t>
      </w:r>
      <w:r>
        <w:rPr>
          <w:rFonts w:eastAsia="宋体"/>
          <w:b/>
          <w:bCs/>
          <w:i/>
          <w:iCs/>
          <w:lang w:val="en-US" w:eastAsia="zh-CN"/>
        </w:rPr>
        <w:t xml:space="preserve">he bit rate requirement of economic video surveillance and industrial wireless sensors is </w:t>
      </w:r>
      <w:r>
        <w:rPr>
          <w:rFonts w:eastAsia="宋体" w:hint="eastAsia"/>
          <w:b/>
          <w:bCs/>
          <w:i/>
          <w:iCs/>
          <w:lang w:val="en-US" w:eastAsia="zh-CN"/>
        </w:rPr>
        <w:t xml:space="preserve">no </w:t>
      </w:r>
      <w:r>
        <w:rPr>
          <w:rFonts w:eastAsia="宋体" w:hint="eastAsia"/>
          <w:b/>
          <w:bCs/>
          <w:i/>
          <w:iCs/>
          <w:lang w:val="en-US" w:eastAsia="zh-CN"/>
        </w:rPr>
        <w:t>more</w:t>
      </w:r>
      <w:r>
        <w:rPr>
          <w:rFonts w:eastAsia="宋体"/>
          <w:b/>
          <w:bCs/>
          <w:i/>
          <w:iCs/>
          <w:lang w:val="en-US" w:eastAsia="zh-CN"/>
        </w:rPr>
        <w:t xml:space="preserve"> than </w:t>
      </w:r>
      <w:r>
        <w:rPr>
          <w:rFonts w:eastAsia="宋体" w:hint="eastAsia"/>
          <w:b/>
          <w:bCs/>
          <w:i/>
          <w:iCs/>
          <w:lang w:val="en-US" w:eastAsia="zh-CN"/>
        </w:rPr>
        <w:t>5Mbps.</w:t>
      </w:r>
    </w:p>
    <w:p w:rsidR="001F21A5" w:rsidRDefault="007F534C">
      <w:pPr>
        <w:rPr>
          <w:rFonts w:eastAsia="宋体"/>
          <w:b/>
          <w:bCs/>
          <w:i/>
          <w:iCs/>
          <w:lang w:val="en-US" w:eastAsia="zh-CN"/>
        </w:rPr>
      </w:pPr>
      <w:r>
        <w:rPr>
          <w:rFonts w:eastAsia="宋体" w:hint="eastAsia"/>
          <w:b/>
          <w:bCs/>
          <w:i/>
          <w:iCs/>
          <w:lang w:val="en-US" w:eastAsia="zh-CN"/>
        </w:rPr>
        <w:t>Observation 2: For 5MHz bandwidth RedCap UE, data rate requirement of industrial wireless sensors and economic video surveillance applications can be satisfied.</w:t>
      </w:r>
    </w:p>
    <w:p w:rsidR="001F21A5" w:rsidRDefault="007F534C">
      <w:pPr>
        <w:rPr>
          <w:rFonts w:eastAsia="宋体"/>
          <w:b/>
          <w:bCs/>
          <w:i/>
          <w:iCs/>
          <w:lang w:val="en-US" w:eastAsia="zh-CN"/>
        </w:rPr>
      </w:pPr>
      <w:r>
        <w:rPr>
          <w:rFonts w:eastAsia="宋体" w:hint="eastAsia"/>
          <w:b/>
          <w:bCs/>
          <w:i/>
          <w:iCs/>
          <w:lang w:val="en-US" w:eastAsia="zh-CN"/>
        </w:rPr>
        <w:t xml:space="preserve">Observation 3: Compared with current RedCap UE, more than 10% cost reduction </w:t>
      </w:r>
      <w:r>
        <w:rPr>
          <w:rFonts w:eastAsia="宋体" w:hint="eastAsia"/>
          <w:b/>
          <w:bCs/>
          <w:i/>
          <w:iCs/>
          <w:lang w:val="en-US" w:eastAsia="zh-CN"/>
        </w:rPr>
        <w:t>can be expected for 5MHz UE</w:t>
      </w:r>
      <w:r>
        <w:rPr>
          <w:rFonts w:eastAsia="宋体"/>
          <w:b/>
          <w:bCs/>
          <w:i/>
          <w:iCs/>
          <w:lang w:val="en-US" w:eastAsia="zh-CN"/>
        </w:rPr>
        <w:t>.</w:t>
      </w:r>
    </w:p>
    <w:p w:rsidR="006F3D7A" w:rsidRDefault="007F534C">
      <w:pPr>
        <w:rPr>
          <w:b/>
          <w:bCs/>
          <w:i/>
          <w:iCs/>
          <w:lang w:val="en-US" w:eastAsia="zh-CN"/>
        </w:rPr>
      </w:pPr>
      <w:r>
        <w:rPr>
          <w:rFonts w:hint="eastAsia"/>
          <w:b/>
          <w:bCs/>
          <w:i/>
          <w:iCs/>
          <w:lang w:val="en-US" w:eastAsia="zh-CN"/>
        </w:rPr>
        <w:t xml:space="preserve">Proposal 1: </w:t>
      </w:r>
      <w:r w:rsidR="006F3D7A">
        <w:rPr>
          <w:rFonts w:hint="eastAsia"/>
          <w:b/>
          <w:bCs/>
          <w:i/>
          <w:iCs/>
          <w:lang w:val="en-US" w:eastAsia="zh-CN"/>
        </w:rPr>
        <w:t>RedCap UE with 5 MHz bandwidth for FR1 should be considered in release 18 and</w:t>
      </w:r>
      <w:r w:rsidR="006F3D7A">
        <w:rPr>
          <w:b/>
          <w:bCs/>
          <w:i/>
          <w:iCs/>
          <w:lang w:val="en-US" w:eastAsia="zh-CN"/>
        </w:rPr>
        <w:t xml:space="preserve"> performance can</w:t>
      </w:r>
      <w:r w:rsidR="006F3D7A">
        <w:rPr>
          <w:rFonts w:hint="eastAsia"/>
          <w:b/>
          <w:bCs/>
          <w:i/>
          <w:iCs/>
          <w:lang w:val="en-US" w:eastAsia="zh-CN"/>
        </w:rPr>
        <w:t xml:space="preserve"> </w:t>
      </w:r>
      <w:r w:rsidR="006F3D7A">
        <w:rPr>
          <w:b/>
          <w:bCs/>
          <w:i/>
          <w:iCs/>
          <w:lang w:val="en-US" w:eastAsia="zh-CN"/>
        </w:rPr>
        <w:t>be</w:t>
      </w:r>
      <w:r w:rsidR="006F3D7A">
        <w:rPr>
          <w:rFonts w:hint="eastAsia"/>
          <w:b/>
          <w:bCs/>
          <w:i/>
          <w:iCs/>
          <w:lang w:val="en-US" w:eastAsia="zh-CN"/>
        </w:rPr>
        <w:t xml:space="preserve"> evaluated in </w:t>
      </w:r>
      <w:r w:rsidR="006F3D7A">
        <w:rPr>
          <w:b/>
          <w:bCs/>
          <w:i/>
          <w:iCs/>
          <w:lang w:val="en-US" w:eastAsia="zh-CN"/>
        </w:rPr>
        <w:t>a study</w:t>
      </w:r>
      <w:r w:rsidR="006F3D7A">
        <w:rPr>
          <w:rFonts w:hint="eastAsia"/>
          <w:b/>
          <w:bCs/>
          <w:i/>
          <w:iCs/>
          <w:lang w:val="en-US" w:eastAsia="zh-CN"/>
        </w:rPr>
        <w:t xml:space="preserve"> </w:t>
      </w:r>
      <w:r w:rsidR="006F3D7A">
        <w:rPr>
          <w:b/>
          <w:bCs/>
          <w:i/>
          <w:iCs/>
          <w:lang w:val="en-US" w:eastAsia="zh-CN"/>
        </w:rPr>
        <w:t>phase</w:t>
      </w:r>
      <w:r w:rsidR="006F3D7A">
        <w:rPr>
          <w:rFonts w:hint="eastAsia"/>
          <w:b/>
          <w:bCs/>
          <w:i/>
          <w:iCs/>
          <w:lang w:val="en-US" w:eastAsia="zh-CN"/>
        </w:rPr>
        <w:t>.</w:t>
      </w:r>
    </w:p>
    <w:p w:rsidR="001F21A5" w:rsidRDefault="007F534C">
      <w:pPr>
        <w:rPr>
          <w:b/>
          <w:bCs/>
          <w:i/>
          <w:iCs/>
          <w:lang w:val="en-US" w:eastAsia="zh-CN"/>
        </w:rPr>
      </w:pPr>
      <w:r>
        <w:rPr>
          <w:rFonts w:hint="eastAsia"/>
          <w:b/>
          <w:bCs/>
          <w:i/>
          <w:iCs/>
          <w:lang w:val="en-US" w:eastAsia="zh-CN"/>
        </w:rPr>
        <w:t>Proposal 2: HARQ processes number/HARQ buffer reduction, modulation order reduction, and lower UE powe</w:t>
      </w:r>
      <w:r>
        <w:rPr>
          <w:rFonts w:hint="eastAsia"/>
          <w:b/>
          <w:bCs/>
          <w:i/>
          <w:iCs/>
          <w:lang w:val="en-US" w:eastAsia="zh-CN"/>
        </w:rPr>
        <w:t>r class can be considered in Rel-18 NR RedCap WID scope.</w:t>
      </w:r>
    </w:p>
    <w:p w:rsidR="001F21A5" w:rsidRDefault="007F534C">
      <w:pPr>
        <w:numPr>
          <w:ilvl w:val="0"/>
          <w:numId w:val="6"/>
        </w:numPr>
        <w:spacing w:after="240"/>
        <w:rPr>
          <w:b/>
          <w:bCs/>
          <w:i/>
          <w:iCs/>
          <w:lang w:val="en-US" w:eastAsia="zh-CN"/>
        </w:rPr>
      </w:pPr>
      <w:bookmarkStart w:id="0" w:name="_GoBack"/>
      <w:bookmarkEnd w:id="0"/>
      <w:r>
        <w:rPr>
          <w:rFonts w:hint="eastAsia"/>
          <w:b/>
          <w:bCs/>
          <w:i/>
          <w:iCs/>
          <w:lang w:val="en-US" w:eastAsia="zh-CN"/>
        </w:rPr>
        <w:t xml:space="preserve">Coverage enhancement should not be considered for lower UE power class. </w:t>
      </w:r>
    </w:p>
    <w:p w:rsidR="001F21A5" w:rsidRDefault="007F534C">
      <w:pPr>
        <w:pStyle w:val="1"/>
        <w:spacing w:before="180"/>
      </w:pPr>
      <w:r>
        <w:rPr>
          <w:rFonts w:hint="eastAsia"/>
        </w:rPr>
        <w:t>R</w:t>
      </w:r>
      <w:r>
        <w:t>eference</w:t>
      </w:r>
    </w:p>
    <w:p w:rsidR="001F21A5" w:rsidRDefault="007F534C">
      <w:pPr>
        <w:pStyle w:val="References"/>
        <w:numPr>
          <w:ilvl w:val="255"/>
          <w:numId w:val="0"/>
        </w:numPr>
        <w:rPr>
          <w:szCs w:val="15"/>
          <w:lang w:eastAsia="zh-CN"/>
        </w:rPr>
      </w:pPr>
      <w:bookmarkStart w:id="1" w:name="_Ref525119031"/>
      <w:r>
        <w:rPr>
          <w:rFonts w:hint="eastAsia"/>
          <w:szCs w:val="15"/>
          <w:lang w:eastAsia="zh-CN"/>
        </w:rPr>
        <w:t xml:space="preserve">[1] </w:t>
      </w:r>
      <w:r>
        <w:rPr>
          <w:szCs w:val="15"/>
          <w:lang w:eastAsia="zh-CN"/>
        </w:rPr>
        <w:t>3GPP RAN#</w:t>
      </w:r>
      <w:r>
        <w:rPr>
          <w:rFonts w:hint="eastAsia"/>
          <w:szCs w:val="15"/>
          <w:lang w:eastAsia="zh-CN"/>
        </w:rPr>
        <w:t>90-</w:t>
      </w:r>
      <w:r>
        <w:rPr>
          <w:szCs w:val="15"/>
          <w:lang w:eastAsia="zh-CN"/>
        </w:rPr>
        <w:t xml:space="preserve">e, </w:t>
      </w:r>
      <w:bookmarkEnd w:id="1"/>
      <w:r>
        <w:rPr>
          <w:rFonts w:hint="eastAsia"/>
          <w:szCs w:val="15"/>
          <w:lang w:eastAsia="zh-CN"/>
        </w:rPr>
        <w:fldChar w:fldCharType="begin"/>
      </w:r>
      <w:r>
        <w:rPr>
          <w:rFonts w:hint="eastAsia"/>
          <w:szCs w:val="15"/>
          <w:lang w:eastAsia="zh-CN"/>
        </w:rPr>
        <w:instrText xml:space="preserve"> HYPERLINK "http://www.3gpp.org/ftp/tsg_ran/TSG_RAN/TSGR_90e/Docs/RP-202928.zip" </w:instrText>
      </w:r>
      <w:r>
        <w:rPr>
          <w:rFonts w:hint="eastAsia"/>
          <w:szCs w:val="15"/>
          <w:lang w:eastAsia="zh-CN"/>
        </w:rPr>
        <w:fldChar w:fldCharType="separate"/>
      </w:r>
      <w:r>
        <w:rPr>
          <w:rFonts w:hint="eastAsia"/>
          <w:szCs w:val="15"/>
          <w:lang w:eastAsia="zh-CN"/>
        </w:rPr>
        <w:t>RP-20293</w:t>
      </w:r>
      <w:r>
        <w:rPr>
          <w:rFonts w:hint="eastAsia"/>
          <w:szCs w:val="15"/>
          <w:lang w:eastAsia="zh-CN"/>
        </w:rPr>
        <w:fldChar w:fldCharType="end"/>
      </w:r>
      <w:r>
        <w:rPr>
          <w:rFonts w:hint="eastAsia"/>
          <w:szCs w:val="15"/>
          <w:lang w:eastAsia="zh-CN"/>
        </w:rPr>
        <w:t xml:space="preserve">3, </w:t>
      </w:r>
      <w:r>
        <w:rPr>
          <w:szCs w:val="15"/>
          <w:lang w:eastAsia="zh-CN"/>
        </w:rPr>
        <w:t>“</w:t>
      </w:r>
      <w:r>
        <w:rPr>
          <w:rFonts w:hint="eastAsia"/>
          <w:szCs w:val="15"/>
          <w:lang w:eastAsia="zh-CN"/>
        </w:rPr>
        <w:t>N</w:t>
      </w:r>
      <w:r>
        <w:rPr>
          <w:rFonts w:hint="eastAsia"/>
          <w:szCs w:val="15"/>
          <w:lang w:eastAsia="zh-CN"/>
        </w:rPr>
        <w:t>ew WID on support of reduced capability NR devices</w:t>
      </w:r>
      <w:r>
        <w:rPr>
          <w:szCs w:val="15"/>
          <w:lang w:eastAsia="zh-CN"/>
        </w:rPr>
        <w:t>”</w:t>
      </w:r>
      <w:r>
        <w:rPr>
          <w:rFonts w:hint="eastAsia"/>
          <w:szCs w:val="15"/>
          <w:lang w:eastAsia="zh-CN"/>
        </w:rPr>
        <w:t>, Ericsson, Nokia.</w:t>
      </w:r>
    </w:p>
    <w:p w:rsidR="001F21A5" w:rsidRDefault="007F534C">
      <w:pPr>
        <w:pStyle w:val="References"/>
        <w:numPr>
          <w:ilvl w:val="0"/>
          <w:numId w:val="0"/>
        </w:numPr>
        <w:rPr>
          <w:szCs w:val="15"/>
          <w:lang w:eastAsia="ja-JP"/>
        </w:rPr>
      </w:pPr>
      <w:r>
        <w:rPr>
          <w:rFonts w:hint="eastAsia"/>
          <w:szCs w:val="15"/>
          <w:lang w:eastAsia="zh-CN"/>
        </w:rPr>
        <w:t xml:space="preserve">[2] </w:t>
      </w:r>
      <w:r>
        <w:rPr>
          <w:szCs w:val="15"/>
          <w:lang w:eastAsia="zh-CN"/>
        </w:rPr>
        <w:t>3GPP RAN#</w:t>
      </w:r>
      <w:r>
        <w:rPr>
          <w:rFonts w:hint="eastAsia"/>
          <w:szCs w:val="15"/>
          <w:lang w:eastAsia="zh-CN"/>
        </w:rPr>
        <w:t>92-</w:t>
      </w:r>
      <w:r>
        <w:rPr>
          <w:szCs w:val="15"/>
          <w:lang w:eastAsia="zh-CN"/>
        </w:rPr>
        <w:t>e, RP-21</w:t>
      </w:r>
      <w:r>
        <w:rPr>
          <w:rFonts w:hint="eastAsia"/>
          <w:szCs w:val="15"/>
          <w:lang w:eastAsia="zh-CN"/>
        </w:rPr>
        <w:t xml:space="preserve">1574 </w:t>
      </w:r>
      <w:r>
        <w:rPr>
          <w:szCs w:val="15"/>
          <w:lang w:eastAsia="zh-CN"/>
        </w:rPr>
        <w:t>“</w:t>
      </w:r>
      <w:r>
        <w:rPr>
          <w:rFonts w:hint="eastAsia"/>
          <w:szCs w:val="15"/>
          <w:lang w:eastAsia="zh-CN"/>
        </w:rPr>
        <w:t>Revised WID on support of reduced capability NR devices</w:t>
      </w:r>
      <w:r>
        <w:rPr>
          <w:szCs w:val="15"/>
          <w:lang w:eastAsia="zh-CN"/>
        </w:rPr>
        <w:t>”</w:t>
      </w:r>
      <w:r>
        <w:rPr>
          <w:rFonts w:hint="eastAsia"/>
          <w:szCs w:val="15"/>
          <w:lang w:eastAsia="zh-CN"/>
        </w:rPr>
        <w:t>, Ericsson.</w:t>
      </w:r>
    </w:p>
    <w:sectPr w:rsidR="001F21A5">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34C" w:rsidRDefault="007F534C">
      <w:pPr>
        <w:spacing w:after="0"/>
      </w:pPr>
      <w:r>
        <w:separator/>
      </w:r>
    </w:p>
  </w:endnote>
  <w:endnote w:type="continuationSeparator" w:id="0">
    <w:p w:rsidR="007F534C" w:rsidRDefault="007F5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1A5" w:rsidRDefault="007F534C">
    <w:pPr>
      <w:pStyle w:val="ac"/>
      <w:jc w:val="center"/>
    </w:pPr>
    <w:r>
      <w:fldChar w:fldCharType="begin"/>
    </w:r>
    <w:r>
      <w:instrText xml:space="preserve"> PAGE   \* MERGEFORMAT </w:instrText>
    </w:r>
    <w:r>
      <w:fldChar w:fldCharType="separate"/>
    </w:r>
    <w:r w:rsidR="006F3D7A" w:rsidRPr="006F3D7A">
      <w:rPr>
        <w:noProof/>
        <w:lang w:val="en-US" w:eastAsia="zh-CN"/>
      </w:rPr>
      <w:t>2</w:t>
    </w:r>
    <w:r>
      <w:rPr>
        <w:lang w:val="en-US" w:eastAsia="zh-CN"/>
      </w:rPr>
      <w:fldChar w:fldCharType="end"/>
    </w:r>
  </w:p>
  <w:p w:rsidR="001F21A5" w:rsidRDefault="001F21A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34C" w:rsidRDefault="007F534C">
      <w:pPr>
        <w:spacing w:after="0"/>
      </w:pPr>
      <w:r>
        <w:separator/>
      </w:r>
    </w:p>
  </w:footnote>
  <w:footnote w:type="continuationSeparator" w:id="0">
    <w:p w:rsidR="007F534C" w:rsidRDefault="007F53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33226AF"/>
    <w:multiLevelType w:val="singleLevel"/>
    <w:tmpl w:val="D33226AF"/>
    <w:lvl w:ilvl="0">
      <w:start w:val="1"/>
      <w:numFmt w:val="bullet"/>
      <w:lvlText w:val=""/>
      <w:lvlJc w:val="left"/>
      <w:pPr>
        <w:ind w:left="420" w:hanging="420"/>
      </w:pPr>
      <w:rPr>
        <w:rFonts w:ascii="Symbol" w:hAnsi="Symbol" w:cs="Symbol" w:hint="default"/>
      </w:rPr>
    </w:lvl>
  </w:abstractNum>
  <w:abstractNum w:abstractNumId="1">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3E7675A8"/>
    <w:multiLevelType w:val="multilevel"/>
    <w:tmpl w:val="3E767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nsid w:val="5F1D243C"/>
    <w:multiLevelType w:val="multilevel"/>
    <w:tmpl w:val="5F1D2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1A5"/>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D7A"/>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4C"/>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E376C5"/>
    <w:rsid w:val="01F93655"/>
    <w:rsid w:val="01FA3D41"/>
    <w:rsid w:val="02161019"/>
    <w:rsid w:val="024273C3"/>
    <w:rsid w:val="02436CDB"/>
    <w:rsid w:val="024D495E"/>
    <w:rsid w:val="02856B9B"/>
    <w:rsid w:val="029721D9"/>
    <w:rsid w:val="02AE2102"/>
    <w:rsid w:val="02EB1A31"/>
    <w:rsid w:val="0306050F"/>
    <w:rsid w:val="031E13A5"/>
    <w:rsid w:val="036163F0"/>
    <w:rsid w:val="036907A0"/>
    <w:rsid w:val="036C2DED"/>
    <w:rsid w:val="038C5EE3"/>
    <w:rsid w:val="039A02C2"/>
    <w:rsid w:val="03A53A11"/>
    <w:rsid w:val="03B1471C"/>
    <w:rsid w:val="03BE6896"/>
    <w:rsid w:val="04291D8C"/>
    <w:rsid w:val="04447C19"/>
    <w:rsid w:val="044A1153"/>
    <w:rsid w:val="0469222B"/>
    <w:rsid w:val="04855E9F"/>
    <w:rsid w:val="049F0EDB"/>
    <w:rsid w:val="04A1561E"/>
    <w:rsid w:val="04B022AB"/>
    <w:rsid w:val="04C21F07"/>
    <w:rsid w:val="04D33847"/>
    <w:rsid w:val="04E954F9"/>
    <w:rsid w:val="05066184"/>
    <w:rsid w:val="051F25C2"/>
    <w:rsid w:val="05387DC7"/>
    <w:rsid w:val="058B1B5A"/>
    <w:rsid w:val="05B11E5B"/>
    <w:rsid w:val="05BC0977"/>
    <w:rsid w:val="05BD29B3"/>
    <w:rsid w:val="05DC7827"/>
    <w:rsid w:val="061630ED"/>
    <w:rsid w:val="061A428C"/>
    <w:rsid w:val="06246CEA"/>
    <w:rsid w:val="064F258E"/>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E34651"/>
    <w:rsid w:val="07F22080"/>
    <w:rsid w:val="07F351B9"/>
    <w:rsid w:val="080F737D"/>
    <w:rsid w:val="081B42A5"/>
    <w:rsid w:val="08436133"/>
    <w:rsid w:val="086B53B3"/>
    <w:rsid w:val="087D02A0"/>
    <w:rsid w:val="08875633"/>
    <w:rsid w:val="089B1C19"/>
    <w:rsid w:val="08CD1299"/>
    <w:rsid w:val="08DB58AC"/>
    <w:rsid w:val="08ED06CF"/>
    <w:rsid w:val="08F927C9"/>
    <w:rsid w:val="09280783"/>
    <w:rsid w:val="09306665"/>
    <w:rsid w:val="09324EA3"/>
    <w:rsid w:val="0943721F"/>
    <w:rsid w:val="096177E7"/>
    <w:rsid w:val="09661070"/>
    <w:rsid w:val="09A27F6E"/>
    <w:rsid w:val="09A64982"/>
    <w:rsid w:val="09B27B80"/>
    <w:rsid w:val="09B842C1"/>
    <w:rsid w:val="09C03F8A"/>
    <w:rsid w:val="09CA74D8"/>
    <w:rsid w:val="09CB01D4"/>
    <w:rsid w:val="09D503B2"/>
    <w:rsid w:val="09E33A3A"/>
    <w:rsid w:val="09F30681"/>
    <w:rsid w:val="0A0B0CF6"/>
    <w:rsid w:val="0A1039CB"/>
    <w:rsid w:val="0A130914"/>
    <w:rsid w:val="0A1B791F"/>
    <w:rsid w:val="0A1D502D"/>
    <w:rsid w:val="0A284254"/>
    <w:rsid w:val="0A2E3E6D"/>
    <w:rsid w:val="0A3C14C2"/>
    <w:rsid w:val="0A45712B"/>
    <w:rsid w:val="0A5A0CCD"/>
    <w:rsid w:val="0A5B723D"/>
    <w:rsid w:val="0A5E07B6"/>
    <w:rsid w:val="0A6758F0"/>
    <w:rsid w:val="0A8F088C"/>
    <w:rsid w:val="0A99506A"/>
    <w:rsid w:val="0AD03DDD"/>
    <w:rsid w:val="0AD64001"/>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484626"/>
    <w:rsid w:val="0D491FCF"/>
    <w:rsid w:val="0D6D1D9F"/>
    <w:rsid w:val="0D863520"/>
    <w:rsid w:val="0D970A36"/>
    <w:rsid w:val="0D9C4D64"/>
    <w:rsid w:val="0DA07D21"/>
    <w:rsid w:val="0DA9048D"/>
    <w:rsid w:val="0DC5273C"/>
    <w:rsid w:val="0DDC1C2F"/>
    <w:rsid w:val="0DDE1DBA"/>
    <w:rsid w:val="0E092B88"/>
    <w:rsid w:val="0E0F567A"/>
    <w:rsid w:val="0E3F7D19"/>
    <w:rsid w:val="0E883D5F"/>
    <w:rsid w:val="0E8C5CCB"/>
    <w:rsid w:val="0E8D7FB3"/>
    <w:rsid w:val="0E99334B"/>
    <w:rsid w:val="0EAB1277"/>
    <w:rsid w:val="0EDA4173"/>
    <w:rsid w:val="0F2440E0"/>
    <w:rsid w:val="0F852378"/>
    <w:rsid w:val="0F896791"/>
    <w:rsid w:val="0FC10DD7"/>
    <w:rsid w:val="0FCC5F2C"/>
    <w:rsid w:val="0FD60E0E"/>
    <w:rsid w:val="0FD61D28"/>
    <w:rsid w:val="0FE353A5"/>
    <w:rsid w:val="1013736F"/>
    <w:rsid w:val="103656CF"/>
    <w:rsid w:val="105D13C1"/>
    <w:rsid w:val="105F4410"/>
    <w:rsid w:val="106226AB"/>
    <w:rsid w:val="10777814"/>
    <w:rsid w:val="109D594B"/>
    <w:rsid w:val="10B14313"/>
    <w:rsid w:val="10B776CF"/>
    <w:rsid w:val="10B77A85"/>
    <w:rsid w:val="10DB0B79"/>
    <w:rsid w:val="10E15320"/>
    <w:rsid w:val="110F65EB"/>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972EE"/>
    <w:rsid w:val="11EA624F"/>
    <w:rsid w:val="11F77A33"/>
    <w:rsid w:val="12085C20"/>
    <w:rsid w:val="121A3C03"/>
    <w:rsid w:val="123922F2"/>
    <w:rsid w:val="1258559A"/>
    <w:rsid w:val="12625E3E"/>
    <w:rsid w:val="126803A3"/>
    <w:rsid w:val="129212FC"/>
    <w:rsid w:val="1296378D"/>
    <w:rsid w:val="12AD6F6E"/>
    <w:rsid w:val="12DB7BF6"/>
    <w:rsid w:val="12E339D7"/>
    <w:rsid w:val="12E9532A"/>
    <w:rsid w:val="12F40920"/>
    <w:rsid w:val="133F7045"/>
    <w:rsid w:val="1347637A"/>
    <w:rsid w:val="13580386"/>
    <w:rsid w:val="13626F7B"/>
    <w:rsid w:val="136D0DE7"/>
    <w:rsid w:val="13701100"/>
    <w:rsid w:val="137C5099"/>
    <w:rsid w:val="138C44BA"/>
    <w:rsid w:val="13A4433A"/>
    <w:rsid w:val="13C35F71"/>
    <w:rsid w:val="13C45EEB"/>
    <w:rsid w:val="13D8065C"/>
    <w:rsid w:val="13FD3D88"/>
    <w:rsid w:val="14085527"/>
    <w:rsid w:val="142A7D52"/>
    <w:rsid w:val="1460351E"/>
    <w:rsid w:val="146F1C00"/>
    <w:rsid w:val="14956233"/>
    <w:rsid w:val="1498205C"/>
    <w:rsid w:val="14C0438E"/>
    <w:rsid w:val="14FD0E41"/>
    <w:rsid w:val="150C5319"/>
    <w:rsid w:val="1519413F"/>
    <w:rsid w:val="15344A8E"/>
    <w:rsid w:val="157C4BBC"/>
    <w:rsid w:val="1598452D"/>
    <w:rsid w:val="15B02B3A"/>
    <w:rsid w:val="15CB01DE"/>
    <w:rsid w:val="15E24EB8"/>
    <w:rsid w:val="15E36279"/>
    <w:rsid w:val="161F325E"/>
    <w:rsid w:val="1644295A"/>
    <w:rsid w:val="165122A1"/>
    <w:rsid w:val="16522CD9"/>
    <w:rsid w:val="165F5C50"/>
    <w:rsid w:val="16713D71"/>
    <w:rsid w:val="168D087B"/>
    <w:rsid w:val="169C6411"/>
    <w:rsid w:val="16C63BEF"/>
    <w:rsid w:val="16EB3239"/>
    <w:rsid w:val="170C14B3"/>
    <w:rsid w:val="17167425"/>
    <w:rsid w:val="173E0E43"/>
    <w:rsid w:val="176647B8"/>
    <w:rsid w:val="1768135A"/>
    <w:rsid w:val="17686E97"/>
    <w:rsid w:val="177D428E"/>
    <w:rsid w:val="17906CEB"/>
    <w:rsid w:val="179D6C81"/>
    <w:rsid w:val="179D6DFA"/>
    <w:rsid w:val="17B72015"/>
    <w:rsid w:val="17CB4230"/>
    <w:rsid w:val="17D11AF8"/>
    <w:rsid w:val="17E04D27"/>
    <w:rsid w:val="17E21682"/>
    <w:rsid w:val="18356DAF"/>
    <w:rsid w:val="184149AC"/>
    <w:rsid w:val="187C410A"/>
    <w:rsid w:val="18B17276"/>
    <w:rsid w:val="18B805E6"/>
    <w:rsid w:val="18CB50F0"/>
    <w:rsid w:val="18FC35ED"/>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E52DE4"/>
    <w:rsid w:val="1AF01F23"/>
    <w:rsid w:val="1AF451D3"/>
    <w:rsid w:val="1B1B27AF"/>
    <w:rsid w:val="1B282B30"/>
    <w:rsid w:val="1B285967"/>
    <w:rsid w:val="1B2975FC"/>
    <w:rsid w:val="1B3A5C11"/>
    <w:rsid w:val="1B415D8B"/>
    <w:rsid w:val="1B4A3A42"/>
    <w:rsid w:val="1B621AAF"/>
    <w:rsid w:val="1BA53D01"/>
    <w:rsid w:val="1BAE3711"/>
    <w:rsid w:val="1BB377E0"/>
    <w:rsid w:val="1BF565DF"/>
    <w:rsid w:val="1C215368"/>
    <w:rsid w:val="1C374044"/>
    <w:rsid w:val="1C496310"/>
    <w:rsid w:val="1C51422C"/>
    <w:rsid w:val="1C53677B"/>
    <w:rsid w:val="1C5D4224"/>
    <w:rsid w:val="1C730E37"/>
    <w:rsid w:val="1C785ACB"/>
    <w:rsid w:val="1C832924"/>
    <w:rsid w:val="1C856B73"/>
    <w:rsid w:val="1CA15B59"/>
    <w:rsid w:val="1CA939DD"/>
    <w:rsid w:val="1CD97C9A"/>
    <w:rsid w:val="1CFA5536"/>
    <w:rsid w:val="1D045F67"/>
    <w:rsid w:val="1D491A74"/>
    <w:rsid w:val="1D5674FC"/>
    <w:rsid w:val="1D6D1D09"/>
    <w:rsid w:val="1D6D3B96"/>
    <w:rsid w:val="1D832664"/>
    <w:rsid w:val="1DAE3C2D"/>
    <w:rsid w:val="1DCA2E25"/>
    <w:rsid w:val="1DDD1265"/>
    <w:rsid w:val="1E050206"/>
    <w:rsid w:val="1E446F7D"/>
    <w:rsid w:val="1E6F59DA"/>
    <w:rsid w:val="1E85023D"/>
    <w:rsid w:val="1E8E446E"/>
    <w:rsid w:val="1E9F2387"/>
    <w:rsid w:val="1EA36749"/>
    <w:rsid w:val="1EA73F4E"/>
    <w:rsid w:val="1EB62F37"/>
    <w:rsid w:val="1EC126ED"/>
    <w:rsid w:val="1EDE3E4D"/>
    <w:rsid w:val="1F08316A"/>
    <w:rsid w:val="1F226585"/>
    <w:rsid w:val="1F334F71"/>
    <w:rsid w:val="1F354DB1"/>
    <w:rsid w:val="1F426671"/>
    <w:rsid w:val="1F4A41E7"/>
    <w:rsid w:val="1F7F1019"/>
    <w:rsid w:val="1F9675F9"/>
    <w:rsid w:val="1FE13EAD"/>
    <w:rsid w:val="1FF037A6"/>
    <w:rsid w:val="20153AC6"/>
    <w:rsid w:val="202E7C5A"/>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D432AD"/>
    <w:rsid w:val="21E23CAE"/>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B587B"/>
    <w:rsid w:val="237960DC"/>
    <w:rsid w:val="23A15217"/>
    <w:rsid w:val="23AD60D7"/>
    <w:rsid w:val="23B23888"/>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523138B"/>
    <w:rsid w:val="253568E8"/>
    <w:rsid w:val="2539268F"/>
    <w:rsid w:val="253F6151"/>
    <w:rsid w:val="25487564"/>
    <w:rsid w:val="25697C46"/>
    <w:rsid w:val="256C1B5B"/>
    <w:rsid w:val="2593583B"/>
    <w:rsid w:val="25A2284A"/>
    <w:rsid w:val="25B519FD"/>
    <w:rsid w:val="25B81417"/>
    <w:rsid w:val="25BB704A"/>
    <w:rsid w:val="25F3591F"/>
    <w:rsid w:val="25FE407C"/>
    <w:rsid w:val="26071F57"/>
    <w:rsid w:val="263B466F"/>
    <w:rsid w:val="263E0EAC"/>
    <w:rsid w:val="266B722B"/>
    <w:rsid w:val="26894387"/>
    <w:rsid w:val="268E69E6"/>
    <w:rsid w:val="26BB23E6"/>
    <w:rsid w:val="26D4632B"/>
    <w:rsid w:val="27151F9C"/>
    <w:rsid w:val="27194349"/>
    <w:rsid w:val="271E24C5"/>
    <w:rsid w:val="272D7F07"/>
    <w:rsid w:val="27622244"/>
    <w:rsid w:val="27655664"/>
    <w:rsid w:val="276811E3"/>
    <w:rsid w:val="27890011"/>
    <w:rsid w:val="27E121C3"/>
    <w:rsid w:val="27FF223C"/>
    <w:rsid w:val="280704B5"/>
    <w:rsid w:val="2812613C"/>
    <w:rsid w:val="282273E5"/>
    <w:rsid w:val="283533E9"/>
    <w:rsid w:val="28374E18"/>
    <w:rsid w:val="283F33CD"/>
    <w:rsid w:val="28425FD1"/>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931A2E"/>
    <w:rsid w:val="2ABB0892"/>
    <w:rsid w:val="2ADA009F"/>
    <w:rsid w:val="2AEB310F"/>
    <w:rsid w:val="2AF90901"/>
    <w:rsid w:val="2B0428DA"/>
    <w:rsid w:val="2B913D0E"/>
    <w:rsid w:val="2BAA6FB4"/>
    <w:rsid w:val="2BB52FB9"/>
    <w:rsid w:val="2BBD31DA"/>
    <w:rsid w:val="2BD44CD9"/>
    <w:rsid w:val="2BD55B5A"/>
    <w:rsid w:val="2BEF516A"/>
    <w:rsid w:val="2BF96939"/>
    <w:rsid w:val="2C082D33"/>
    <w:rsid w:val="2C0B5F01"/>
    <w:rsid w:val="2C3934AF"/>
    <w:rsid w:val="2C50088B"/>
    <w:rsid w:val="2C693C27"/>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CD7"/>
    <w:rsid w:val="2D555855"/>
    <w:rsid w:val="2D681FD2"/>
    <w:rsid w:val="2D7B1D4A"/>
    <w:rsid w:val="2D7F22A7"/>
    <w:rsid w:val="2D9109BF"/>
    <w:rsid w:val="2DB600C3"/>
    <w:rsid w:val="2DD227A7"/>
    <w:rsid w:val="2DFF3321"/>
    <w:rsid w:val="2E0115DF"/>
    <w:rsid w:val="2E173F56"/>
    <w:rsid w:val="2E193B83"/>
    <w:rsid w:val="2E27571E"/>
    <w:rsid w:val="2E333031"/>
    <w:rsid w:val="2E48670E"/>
    <w:rsid w:val="2E51670B"/>
    <w:rsid w:val="2E8F279C"/>
    <w:rsid w:val="2E9A5F12"/>
    <w:rsid w:val="2EB53BBB"/>
    <w:rsid w:val="2EDF107D"/>
    <w:rsid w:val="2EE5197D"/>
    <w:rsid w:val="2F341996"/>
    <w:rsid w:val="2F3E4C01"/>
    <w:rsid w:val="2F62532D"/>
    <w:rsid w:val="2FA97745"/>
    <w:rsid w:val="2FAA0FB7"/>
    <w:rsid w:val="2FCE676B"/>
    <w:rsid w:val="2FD61C3D"/>
    <w:rsid w:val="2FEF10DB"/>
    <w:rsid w:val="300563D4"/>
    <w:rsid w:val="300C45EF"/>
    <w:rsid w:val="30280C4A"/>
    <w:rsid w:val="30497748"/>
    <w:rsid w:val="30566E0B"/>
    <w:rsid w:val="306C4308"/>
    <w:rsid w:val="307160DC"/>
    <w:rsid w:val="30B87114"/>
    <w:rsid w:val="30C27C4C"/>
    <w:rsid w:val="30EC4B0C"/>
    <w:rsid w:val="30ED594E"/>
    <w:rsid w:val="30FD564A"/>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216A65"/>
    <w:rsid w:val="34561EE4"/>
    <w:rsid w:val="346E51BD"/>
    <w:rsid w:val="34872233"/>
    <w:rsid w:val="348C273F"/>
    <w:rsid w:val="34942631"/>
    <w:rsid w:val="34B97FC7"/>
    <w:rsid w:val="34C1388B"/>
    <w:rsid w:val="34C31F31"/>
    <w:rsid w:val="34CD3EA1"/>
    <w:rsid w:val="34D929F4"/>
    <w:rsid w:val="34E010CD"/>
    <w:rsid w:val="34E32054"/>
    <w:rsid w:val="34FF1701"/>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D63C8"/>
    <w:rsid w:val="36170B0F"/>
    <w:rsid w:val="36246912"/>
    <w:rsid w:val="362D5ECB"/>
    <w:rsid w:val="366339B0"/>
    <w:rsid w:val="3685256B"/>
    <w:rsid w:val="369060B3"/>
    <w:rsid w:val="36BE02F7"/>
    <w:rsid w:val="36CE3A65"/>
    <w:rsid w:val="36D53214"/>
    <w:rsid w:val="36DB282E"/>
    <w:rsid w:val="36DC37C4"/>
    <w:rsid w:val="36E35B01"/>
    <w:rsid w:val="36F30336"/>
    <w:rsid w:val="3709319D"/>
    <w:rsid w:val="370D35F7"/>
    <w:rsid w:val="372B4140"/>
    <w:rsid w:val="37384D46"/>
    <w:rsid w:val="37A52A63"/>
    <w:rsid w:val="37B77F1A"/>
    <w:rsid w:val="37D45979"/>
    <w:rsid w:val="37E94D8C"/>
    <w:rsid w:val="3806257E"/>
    <w:rsid w:val="381A7F30"/>
    <w:rsid w:val="38300ACF"/>
    <w:rsid w:val="385344C1"/>
    <w:rsid w:val="38BC4993"/>
    <w:rsid w:val="38C45B8C"/>
    <w:rsid w:val="390300D0"/>
    <w:rsid w:val="3903531C"/>
    <w:rsid w:val="390F5E65"/>
    <w:rsid w:val="39315B32"/>
    <w:rsid w:val="3957396E"/>
    <w:rsid w:val="3967067A"/>
    <w:rsid w:val="39FE0119"/>
    <w:rsid w:val="3A027325"/>
    <w:rsid w:val="3A1B6795"/>
    <w:rsid w:val="3A2071EB"/>
    <w:rsid w:val="3A35011B"/>
    <w:rsid w:val="3A39104D"/>
    <w:rsid w:val="3A4726CD"/>
    <w:rsid w:val="3A481B2D"/>
    <w:rsid w:val="3A587C96"/>
    <w:rsid w:val="3A593A26"/>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82062"/>
    <w:rsid w:val="3D4A65CE"/>
    <w:rsid w:val="3D720332"/>
    <w:rsid w:val="3D833902"/>
    <w:rsid w:val="3D844014"/>
    <w:rsid w:val="3D8F09F2"/>
    <w:rsid w:val="3DAD6152"/>
    <w:rsid w:val="3DC13DCB"/>
    <w:rsid w:val="3DC34729"/>
    <w:rsid w:val="3DE9747B"/>
    <w:rsid w:val="3DF55008"/>
    <w:rsid w:val="3DF773A0"/>
    <w:rsid w:val="3E267F37"/>
    <w:rsid w:val="3E2E3277"/>
    <w:rsid w:val="3E4A2A9B"/>
    <w:rsid w:val="3E6549B8"/>
    <w:rsid w:val="3E8D4E74"/>
    <w:rsid w:val="3E9A5304"/>
    <w:rsid w:val="3EB5213D"/>
    <w:rsid w:val="3EC46393"/>
    <w:rsid w:val="3EC864CE"/>
    <w:rsid w:val="3ECE2BEE"/>
    <w:rsid w:val="3ED20FB4"/>
    <w:rsid w:val="3ED757D1"/>
    <w:rsid w:val="3EED1AC6"/>
    <w:rsid w:val="3F365AB0"/>
    <w:rsid w:val="3F3F55BF"/>
    <w:rsid w:val="3F727917"/>
    <w:rsid w:val="3F7A7282"/>
    <w:rsid w:val="3F885031"/>
    <w:rsid w:val="3F891A44"/>
    <w:rsid w:val="3FCA54FF"/>
    <w:rsid w:val="3FE16076"/>
    <w:rsid w:val="3FF54B69"/>
    <w:rsid w:val="40053AEF"/>
    <w:rsid w:val="401943AA"/>
    <w:rsid w:val="40474563"/>
    <w:rsid w:val="404D74F4"/>
    <w:rsid w:val="40553E07"/>
    <w:rsid w:val="406F7959"/>
    <w:rsid w:val="409C2E6C"/>
    <w:rsid w:val="40B1111B"/>
    <w:rsid w:val="40CC1305"/>
    <w:rsid w:val="40D9303C"/>
    <w:rsid w:val="40D94239"/>
    <w:rsid w:val="41434BDD"/>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96142D"/>
    <w:rsid w:val="44AE0F68"/>
    <w:rsid w:val="44B70E1C"/>
    <w:rsid w:val="44C21817"/>
    <w:rsid w:val="44C864A2"/>
    <w:rsid w:val="44EE285D"/>
    <w:rsid w:val="44F47D63"/>
    <w:rsid w:val="451A1345"/>
    <w:rsid w:val="45210678"/>
    <w:rsid w:val="45365A7D"/>
    <w:rsid w:val="45432E6E"/>
    <w:rsid w:val="45502EFA"/>
    <w:rsid w:val="456A6A3D"/>
    <w:rsid w:val="456D007F"/>
    <w:rsid w:val="45715EA3"/>
    <w:rsid w:val="45732BA3"/>
    <w:rsid w:val="457814AF"/>
    <w:rsid w:val="45AA7185"/>
    <w:rsid w:val="45BB6D5F"/>
    <w:rsid w:val="45CA2C98"/>
    <w:rsid w:val="45D47576"/>
    <w:rsid w:val="45DB01BB"/>
    <w:rsid w:val="460F3D59"/>
    <w:rsid w:val="461A0474"/>
    <w:rsid w:val="463A25FA"/>
    <w:rsid w:val="463A4AB2"/>
    <w:rsid w:val="46493457"/>
    <w:rsid w:val="4664688D"/>
    <w:rsid w:val="469118B1"/>
    <w:rsid w:val="469C48FB"/>
    <w:rsid w:val="46BD3B9D"/>
    <w:rsid w:val="46C568E3"/>
    <w:rsid w:val="46DF4D26"/>
    <w:rsid w:val="46E52D55"/>
    <w:rsid w:val="46F14F25"/>
    <w:rsid w:val="46F30A2D"/>
    <w:rsid w:val="470A789B"/>
    <w:rsid w:val="47372A85"/>
    <w:rsid w:val="47652B4A"/>
    <w:rsid w:val="4787125E"/>
    <w:rsid w:val="47992A9F"/>
    <w:rsid w:val="47BA383E"/>
    <w:rsid w:val="47BF2FE6"/>
    <w:rsid w:val="47D54965"/>
    <w:rsid w:val="48342339"/>
    <w:rsid w:val="48363D2A"/>
    <w:rsid w:val="485C7AF8"/>
    <w:rsid w:val="489674F7"/>
    <w:rsid w:val="48B8274A"/>
    <w:rsid w:val="48D8063B"/>
    <w:rsid w:val="49061158"/>
    <w:rsid w:val="490802F5"/>
    <w:rsid w:val="491E3725"/>
    <w:rsid w:val="492941E4"/>
    <w:rsid w:val="492E0D3E"/>
    <w:rsid w:val="494A7E10"/>
    <w:rsid w:val="49750A0E"/>
    <w:rsid w:val="498D699C"/>
    <w:rsid w:val="49AD07BA"/>
    <w:rsid w:val="49C76F93"/>
    <w:rsid w:val="4A0B1B0D"/>
    <w:rsid w:val="4A1E6E59"/>
    <w:rsid w:val="4A2328EA"/>
    <w:rsid w:val="4A3610D0"/>
    <w:rsid w:val="4A375916"/>
    <w:rsid w:val="4AE83388"/>
    <w:rsid w:val="4B1155F2"/>
    <w:rsid w:val="4B1552CA"/>
    <w:rsid w:val="4B18275A"/>
    <w:rsid w:val="4B1F0576"/>
    <w:rsid w:val="4B415E8C"/>
    <w:rsid w:val="4B573495"/>
    <w:rsid w:val="4B5A3F42"/>
    <w:rsid w:val="4B5E4EA7"/>
    <w:rsid w:val="4B6E6D32"/>
    <w:rsid w:val="4B7701E2"/>
    <w:rsid w:val="4B801B9C"/>
    <w:rsid w:val="4B892A61"/>
    <w:rsid w:val="4BAB409D"/>
    <w:rsid w:val="4BB01A6D"/>
    <w:rsid w:val="4BBC48B1"/>
    <w:rsid w:val="4BD923A6"/>
    <w:rsid w:val="4BF72FE5"/>
    <w:rsid w:val="4C1D24E0"/>
    <w:rsid w:val="4C3318C0"/>
    <w:rsid w:val="4C3A5AD2"/>
    <w:rsid w:val="4C796DFC"/>
    <w:rsid w:val="4C806B31"/>
    <w:rsid w:val="4C821E70"/>
    <w:rsid w:val="4CBE6D04"/>
    <w:rsid w:val="4CD2257B"/>
    <w:rsid w:val="4CD4605E"/>
    <w:rsid w:val="4CDE5122"/>
    <w:rsid w:val="4CDF647F"/>
    <w:rsid w:val="4CFF494A"/>
    <w:rsid w:val="4D2A3A4D"/>
    <w:rsid w:val="4D2F699F"/>
    <w:rsid w:val="4D3442AE"/>
    <w:rsid w:val="4D3E40B3"/>
    <w:rsid w:val="4D3F2EB8"/>
    <w:rsid w:val="4D6F1420"/>
    <w:rsid w:val="4D7C34CC"/>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C17708"/>
    <w:rsid w:val="4EC9429E"/>
    <w:rsid w:val="4ED4056B"/>
    <w:rsid w:val="4ED826B7"/>
    <w:rsid w:val="4EDF251E"/>
    <w:rsid w:val="4F1D371F"/>
    <w:rsid w:val="4F22406F"/>
    <w:rsid w:val="4F334017"/>
    <w:rsid w:val="4F572D9B"/>
    <w:rsid w:val="4F624DEF"/>
    <w:rsid w:val="4F73115D"/>
    <w:rsid w:val="4F805561"/>
    <w:rsid w:val="4F891F33"/>
    <w:rsid w:val="4F8D46D4"/>
    <w:rsid w:val="4FC37AD4"/>
    <w:rsid w:val="4FE72148"/>
    <w:rsid w:val="502C581B"/>
    <w:rsid w:val="502E379C"/>
    <w:rsid w:val="50545B57"/>
    <w:rsid w:val="508D03AF"/>
    <w:rsid w:val="50A21B69"/>
    <w:rsid w:val="50DA2806"/>
    <w:rsid w:val="50E21BB2"/>
    <w:rsid w:val="50E26A6A"/>
    <w:rsid w:val="51123FD6"/>
    <w:rsid w:val="513D0782"/>
    <w:rsid w:val="51481F13"/>
    <w:rsid w:val="515A1CDE"/>
    <w:rsid w:val="516C7666"/>
    <w:rsid w:val="516E5322"/>
    <w:rsid w:val="5175467C"/>
    <w:rsid w:val="51956C95"/>
    <w:rsid w:val="519B1B13"/>
    <w:rsid w:val="51A23523"/>
    <w:rsid w:val="51B9445A"/>
    <w:rsid w:val="51C8027C"/>
    <w:rsid w:val="51CD3850"/>
    <w:rsid w:val="52005544"/>
    <w:rsid w:val="523F3EF1"/>
    <w:rsid w:val="52475C76"/>
    <w:rsid w:val="5250728B"/>
    <w:rsid w:val="52582D49"/>
    <w:rsid w:val="5265133F"/>
    <w:rsid w:val="526C1D2D"/>
    <w:rsid w:val="52882208"/>
    <w:rsid w:val="528E5ED2"/>
    <w:rsid w:val="52BF14D9"/>
    <w:rsid w:val="52F26729"/>
    <w:rsid w:val="53215DC1"/>
    <w:rsid w:val="53343024"/>
    <w:rsid w:val="534333A3"/>
    <w:rsid w:val="534D1F36"/>
    <w:rsid w:val="53553B0F"/>
    <w:rsid w:val="53A7074E"/>
    <w:rsid w:val="53D526A0"/>
    <w:rsid w:val="5424586C"/>
    <w:rsid w:val="5475210A"/>
    <w:rsid w:val="549F284E"/>
    <w:rsid w:val="54AB26BE"/>
    <w:rsid w:val="54B22687"/>
    <w:rsid w:val="54BD2E74"/>
    <w:rsid w:val="54CD1F82"/>
    <w:rsid w:val="54CD7075"/>
    <w:rsid w:val="54CE02DF"/>
    <w:rsid w:val="54FC076E"/>
    <w:rsid w:val="54FF07DA"/>
    <w:rsid w:val="554124AE"/>
    <w:rsid w:val="55457580"/>
    <w:rsid w:val="555169B9"/>
    <w:rsid w:val="555652B3"/>
    <w:rsid w:val="55622D21"/>
    <w:rsid w:val="55684148"/>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0F1239"/>
    <w:rsid w:val="58361E7A"/>
    <w:rsid w:val="5863122E"/>
    <w:rsid w:val="586435B6"/>
    <w:rsid w:val="58643F00"/>
    <w:rsid w:val="58851A63"/>
    <w:rsid w:val="588A6AD2"/>
    <w:rsid w:val="58A16586"/>
    <w:rsid w:val="58FF4057"/>
    <w:rsid w:val="59256822"/>
    <w:rsid w:val="592B4CAC"/>
    <w:rsid w:val="59443C29"/>
    <w:rsid w:val="594A3D24"/>
    <w:rsid w:val="59563313"/>
    <w:rsid w:val="596320F5"/>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E2F27"/>
    <w:rsid w:val="5DC65C5A"/>
    <w:rsid w:val="5DD45B7B"/>
    <w:rsid w:val="5DEE16F6"/>
    <w:rsid w:val="5DF9398D"/>
    <w:rsid w:val="5E0104FB"/>
    <w:rsid w:val="5E0205F0"/>
    <w:rsid w:val="5E095FD6"/>
    <w:rsid w:val="5E3C2701"/>
    <w:rsid w:val="5E5D258D"/>
    <w:rsid w:val="5E922995"/>
    <w:rsid w:val="5E997C51"/>
    <w:rsid w:val="5EC55B64"/>
    <w:rsid w:val="5EC77638"/>
    <w:rsid w:val="5ED173BD"/>
    <w:rsid w:val="5EF20384"/>
    <w:rsid w:val="5F0C0C96"/>
    <w:rsid w:val="5F123973"/>
    <w:rsid w:val="5F25133A"/>
    <w:rsid w:val="5F2C5E3A"/>
    <w:rsid w:val="5F2E5DAC"/>
    <w:rsid w:val="5F4116A8"/>
    <w:rsid w:val="5F7F5C85"/>
    <w:rsid w:val="5F9300AA"/>
    <w:rsid w:val="5FAF3EE8"/>
    <w:rsid w:val="5FB012BB"/>
    <w:rsid w:val="5FB60FA1"/>
    <w:rsid w:val="5FB65919"/>
    <w:rsid w:val="5FB74B4B"/>
    <w:rsid w:val="5FC03764"/>
    <w:rsid w:val="5FCA37FF"/>
    <w:rsid w:val="5FCE51B0"/>
    <w:rsid w:val="5FE110AA"/>
    <w:rsid w:val="5FF955B8"/>
    <w:rsid w:val="60451A52"/>
    <w:rsid w:val="604E6B79"/>
    <w:rsid w:val="60702ED7"/>
    <w:rsid w:val="60716CB7"/>
    <w:rsid w:val="60E174E9"/>
    <w:rsid w:val="60E33CE0"/>
    <w:rsid w:val="60E45755"/>
    <w:rsid w:val="60F11ACC"/>
    <w:rsid w:val="61245CBB"/>
    <w:rsid w:val="613F1FCD"/>
    <w:rsid w:val="61415E1E"/>
    <w:rsid w:val="614F59B8"/>
    <w:rsid w:val="616D3845"/>
    <w:rsid w:val="619706BD"/>
    <w:rsid w:val="619F3CE0"/>
    <w:rsid w:val="61E00F5E"/>
    <w:rsid w:val="61FF6957"/>
    <w:rsid w:val="62095C8A"/>
    <w:rsid w:val="621973B0"/>
    <w:rsid w:val="62323A92"/>
    <w:rsid w:val="6243605F"/>
    <w:rsid w:val="626F0DCF"/>
    <w:rsid w:val="62744805"/>
    <w:rsid w:val="628B1D94"/>
    <w:rsid w:val="62A078CC"/>
    <w:rsid w:val="62A26D46"/>
    <w:rsid w:val="62B43548"/>
    <w:rsid w:val="62D40767"/>
    <w:rsid w:val="62DF39E9"/>
    <w:rsid w:val="62F52B28"/>
    <w:rsid w:val="62FA23A2"/>
    <w:rsid w:val="633356A8"/>
    <w:rsid w:val="6336023A"/>
    <w:rsid w:val="637D28DB"/>
    <w:rsid w:val="63925297"/>
    <w:rsid w:val="63BB5339"/>
    <w:rsid w:val="63C64ED3"/>
    <w:rsid w:val="63FD232B"/>
    <w:rsid w:val="6403179D"/>
    <w:rsid w:val="64726008"/>
    <w:rsid w:val="64AD20BC"/>
    <w:rsid w:val="64E96264"/>
    <w:rsid w:val="650F0736"/>
    <w:rsid w:val="65377D1B"/>
    <w:rsid w:val="653F532E"/>
    <w:rsid w:val="65473BDD"/>
    <w:rsid w:val="65476BE1"/>
    <w:rsid w:val="654950EA"/>
    <w:rsid w:val="655728FC"/>
    <w:rsid w:val="65AB65E0"/>
    <w:rsid w:val="65BD38F1"/>
    <w:rsid w:val="65F644BD"/>
    <w:rsid w:val="66127C70"/>
    <w:rsid w:val="662A782F"/>
    <w:rsid w:val="66587F43"/>
    <w:rsid w:val="667F07BA"/>
    <w:rsid w:val="668D261D"/>
    <w:rsid w:val="66977C7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C107A0"/>
    <w:rsid w:val="691A31AB"/>
    <w:rsid w:val="691F40E4"/>
    <w:rsid w:val="693E6DB4"/>
    <w:rsid w:val="69545358"/>
    <w:rsid w:val="69645674"/>
    <w:rsid w:val="696E05C0"/>
    <w:rsid w:val="697408CC"/>
    <w:rsid w:val="697C07E8"/>
    <w:rsid w:val="698A76FD"/>
    <w:rsid w:val="69B117B7"/>
    <w:rsid w:val="69B452BD"/>
    <w:rsid w:val="69D54202"/>
    <w:rsid w:val="69DA5F5C"/>
    <w:rsid w:val="6A1000B2"/>
    <w:rsid w:val="6A5B392B"/>
    <w:rsid w:val="6A7727F9"/>
    <w:rsid w:val="6A7904B4"/>
    <w:rsid w:val="6A7F581D"/>
    <w:rsid w:val="6AAE5C4D"/>
    <w:rsid w:val="6AB56D46"/>
    <w:rsid w:val="6AB8030B"/>
    <w:rsid w:val="6AC26A45"/>
    <w:rsid w:val="6AD4602B"/>
    <w:rsid w:val="6AE63806"/>
    <w:rsid w:val="6B015D35"/>
    <w:rsid w:val="6B016E4F"/>
    <w:rsid w:val="6B200B90"/>
    <w:rsid w:val="6B220972"/>
    <w:rsid w:val="6B3F2242"/>
    <w:rsid w:val="6B474827"/>
    <w:rsid w:val="6B6E1603"/>
    <w:rsid w:val="6B7211DE"/>
    <w:rsid w:val="6B8D0C50"/>
    <w:rsid w:val="6B9168F0"/>
    <w:rsid w:val="6B9E1C99"/>
    <w:rsid w:val="6BAC63E0"/>
    <w:rsid w:val="6BB17CCD"/>
    <w:rsid w:val="6BD10EA4"/>
    <w:rsid w:val="6BFB72FE"/>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C57A4B"/>
    <w:rsid w:val="6DC62FB7"/>
    <w:rsid w:val="6DD24BEB"/>
    <w:rsid w:val="6DDC7F86"/>
    <w:rsid w:val="6DF65F7C"/>
    <w:rsid w:val="6E010DEA"/>
    <w:rsid w:val="6E1216CB"/>
    <w:rsid w:val="6E1B3170"/>
    <w:rsid w:val="6E1E75D3"/>
    <w:rsid w:val="6E2C5C82"/>
    <w:rsid w:val="6E3B3401"/>
    <w:rsid w:val="6E6D45C2"/>
    <w:rsid w:val="6E85633A"/>
    <w:rsid w:val="6EA10210"/>
    <w:rsid w:val="6EBA370A"/>
    <w:rsid w:val="6EC27EEA"/>
    <w:rsid w:val="6EC71C9F"/>
    <w:rsid w:val="6EE343B8"/>
    <w:rsid w:val="6EE558A8"/>
    <w:rsid w:val="6EE91537"/>
    <w:rsid w:val="6EF5535C"/>
    <w:rsid w:val="6F1116BF"/>
    <w:rsid w:val="6F2F106E"/>
    <w:rsid w:val="6F6C7A82"/>
    <w:rsid w:val="6F7B76F7"/>
    <w:rsid w:val="6FA465AA"/>
    <w:rsid w:val="6FAC71E4"/>
    <w:rsid w:val="6FCD316B"/>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2A4780"/>
    <w:rsid w:val="71335D2E"/>
    <w:rsid w:val="714009FD"/>
    <w:rsid w:val="714C61F5"/>
    <w:rsid w:val="715E244A"/>
    <w:rsid w:val="715F644C"/>
    <w:rsid w:val="71BA0C85"/>
    <w:rsid w:val="71BF0E37"/>
    <w:rsid w:val="71DB7D27"/>
    <w:rsid w:val="71ED676A"/>
    <w:rsid w:val="71F202C2"/>
    <w:rsid w:val="72890517"/>
    <w:rsid w:val="72910072"/>
    <w:rsid w:val="72B56EEF"/>
    <w:rsid w:val="72CF74E1"/>
    <w:rsid w:val="73491262"/>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A73D01"/>
    <w:rsid w:val="74E124F8"/>
    <w:rsid w:val="74ED716B"/>
    <w:rsid w:val="74F86947"/>
    <w:rsid w:val="74FA3F1B"/>
    <w:rsid w:val="750220D2"/>
    <w:rsid w:val="750A5CA9"/>
    <w:rsid w:val="75250BC9"/>
    <w:rsid w:val="75666FB1"/>
    <w:rsid w:val="756C1133"/>
    <w:rsid w:val="7570715C"/>
    <w:rsid w:val="757A6592"/>
    <w:rsid w:val="757E70E6"/>
    <w:rsid w:val="75D937BE"/>
    <w:rsid w:val="75E609D5"/>
    <w:rsid w:val="75FC7B39"/>
    <w:rsid w:val="76277A41"/>
    <w:rsid w:val="762A3D54"/>
    <w:rsid w:val="764A4B97"/>
    <w:rsid w:val="76617C75"/>
    <w:rsid w:val="766D009F"/>
    <w:rsid w:val="767E34F8"/>
    <w:rsid w:val="76815219"/>
    <w:rsid w:val="768330F0"/>
    <w:rsid w:val="768512B9"/>
    <w:rsid w:val="768F5516"/>
    <w:rsid w:val="769F51BA"/>
    <w:rsid w:val="76A554A3"/>
    <w:rsid w:val="76C634AC"/>
    <w:rsid w:val="76ED0421"/>
    <w:rsid w:val="76FB42AC"/>
    <w:rsid w:val="771065D2"/>
    <w:rsid w:val="77510CB9"/>
    <w:rsid w:val="7765098C"/>
    <w:rsid w:val="776E2D69"/>
    <w:rsid w:val="77787755"/>
    <w:rsid w:val="778A0D23"/>
    <w:rsid w:val="77907556"/>
    <w:rsid w:val="77CB7EC5"/>
    <w:rsid w:val="77D321E0"/>
    <w:rsid w:val="77D4395D"/>
    <w:rsid w:val="781864EA"/>
    <w:rsid w:val="785943B3"/>
    <w:rsid w:val="789044CA"/>
    <w:rsid w:val="78C54FC9"/>
    <w:rsid w:val="78E439FC"/>
    <w:rsid w:val="78E90A0F"/>
    <w:rsid w:val="79100A4F"/>
    <w:rsid w:val="791453EC"/>
    <w:rsid w:val="793F3FE9"/>
    <w:rsid w:val="794A727F"/>
    <w:rsid w:val="796A1717"/>
    <w:rsid w:val="796D27B7"/>
    <w:rsid w:val="79780691"/>
    <w:rsid w:val="79915C8C"/>
    <w:rsid w:val="799B1706"/>
    <w:rsid w:val="79A71E19"/>
    <w:rsid w:val="79D067AD"/>
    <w:rsid w:val="79ED34C6"/>
    <w:rsid w:val="7A072E1B"/>
    <w:rsid w:val="7A0F12E6"/>
    <w:rsid w:val="7A1D1F55"/>
    <w:rsid w:val="7A2206AB"/>
    <w:rsid w:val="7A396334"/>
    <w:rsid w:val="7A443267"/>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B706E5"/>
    <w:rsid w:val="7BB8027E"/>
    <w:rsid w:val="7BC7231A"/>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C61C6"/>
    <w:rsid w:val="7D0A7C90"/>
    <w:rsid w:val="7D32431E"/>
    <w:rsid w:val="7D447791"/>
    <w:rsid w:val="7D564633"/>
    <w:rsid w:val="7D6657C1"/>
    <w:rsid w:val="7D6809D1"/>
    <w:rsid w:val="7D6E2130"/>
    <w:rsid w:val="7D6E5376"/>
    <w:rsid w:val="7D7379AB"/>
    <w:rsid w:val="7D8A07EE"/>
    <w:rsid w:val="7D9E0355"/>
    <w:rsid w:val="7DB4487B"/>
    <w:rsid w:val="7DC51FB6"/>
    <w:rsid w:val="7DE03C2C"/>
    <w:rsid w:val="7E3C48CF"/>
    <w:rsid w:val="7E436899"/>
    <w:rsid w:val="7E43770C"/>
    <w:rsid w:val="7E463C10"/>
    <w:rsid w:val="7E620867"/>
    <w:rsid w:val="7E68152F"/>
    <w:rsid w:val="7E6B77EA"/>
    <w:rsid w:val="7E884572"/>
    <w:rsid w:val="7E8B4C25"/>
    <w:rsid w:val="7E93406C"/>
    <w:rsid w:val="7EB24392"/>
    <w:rsid w:val="7EB34C68"/>
    <w:rsid w:val="7EB81E19"/>
    <w:rsid w:val="7EBE6A21"/>
    <w:rsid w:val="7EC218D0"/>
    <w:rsid w:val="7EC925F8"/>
    <w:rsid w:val="7ECE45BD"/>
    <w:rsid w:val="7EE34D80"/>
    <w:rsid w:val="7EEF34CE"/>
    <w:rsid w:val="7EFC093A"/>
    <w:rsid w:val="7EFF2BDC"/>
    <w:rsid w:val="7F2315C3"/>
    <w:rsid w:val="7F423106"/>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471E6A-94AD-4AF4-9A4B-A92EAF293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qFormat/>
  </w:style>
  <w:style w:type="character" w:styleId="af5">
    <w:name w:val="FollowedHyperlink"/>
    <w:basedOn w:val="a1"/>
    <w:qFormat/>
    <w:rPr>
      <w:color w:val="800080"/>
      <w:u w:val="single"/>
    </w:rPr>
  </w:style>
  <w:style w:type="character" w:styleId="af6">
    <w:name w:val="Emphasis"/>
    <w:basedOn w:val="a1"/>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0">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b">
    <w:name w:val="List Paragraph"/>
    <w:basedOn w:val="a"/>
    <w:uiPriority w:val="34"/>
    <w:qFormat/>
    <w:pPr>
      <w:ind w:leftChars="400" w:left="840"/>
    </w:pPr>
  </w:style>
  <w:style w:type="character" w:styleId="afc">
    <w:name w:val="Placeholder Tex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cde9a07-ffd2-49c2-a6f0-a131c1d07e91}"/>
        <w:category>
          <w:name w:val="General"/>
          <w:gallery w:val="placeholder"/>
        </w:category>
        <w:types>
          <w:type w:val="bbPlcHdr"/>
        </w:types>
        <w:behaviors>
          <w:behavior w:val="content"/>
        </w:behaviors>
        <w:guid w:val="{BCDE9A07-FFD2-49C2-A6F0-A131C1D07E91}"/>
      </w:docPartPr>
      <w:docPartBody>
        <w:p w:rsidR="000558D2" w:rsidRDefault="00253F36">
          <w:pPr>
            <w:pStyle w:val="A08387FB07DB4480B7719F28B0ADAD4E"/>
          </w:pPr>
          <w:r>
            <w:rPr>
              <w:rStyle w:val="a3"/>
            </w:rPr>
            <w:t>[Title]</w:t>
          </w:r>
        </w:p>
      </w:docPartBody>
    </w:docPart>
    <w:docPart>
      <w:docPartPr>
        <w:name w:val="{78743030-6e7c-4b5f-b1b6-3973c93b3f82}"/>
        <w:category>
          <w:name w:val="General"/>
          <w:gallery w:val="placeholder"/>
        </w:category>
        <w:types>
          <w:type w:val="bbPlcHdr"/>
        </w:types>
        <w:behaviors>
          <w:behavior w:val="content"/>
        </w:behaviors>
        <w:guid w:val="{78743030-6E7C-4B5F-B1B6-3973C93B3F82}"/>
      </w:docPartPr>
      <w:docPartBody>
        <w:p w:rsidR="000558D2" w:rsidRDefault="00253F36">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469"/>
    <w:rsid w:val="000558D2"/>
    <w:rsid w:val="001D5469"/>
    <w:rsid w:val="00253F36"/>
    <w:rsid w:val="005D0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08387FB07DB4480B7719F28B0ADAD4E">
    <w:name w:val="A08387FB07DB4480B7719F28B0ADAD4E"/>
    <w:qFormat/>
    <w:pPr>
      <w:spacing w:after="160" w:line="259" w:lineRule="auto"/>
    </w:pPr>
    <w:rPr>
      <w:rFonts w:asciiTheme="minorHAnsi" w:eastAsiaTheme="minorEastAsia" w:hAnsiTheme="minorHAnsi" w:cstheme="minorBidi"/>
      <w:sz w:val="22"/>
      <w:szCs w:val="22"/>
      <w:lang w:eastAsia="ko-KR"/>
    </w:rPr>
  </w:style>
  <w:style w:type="character" w:styleId="a3">
    <w:name w:val="Placeholder Text"/>
    <w:uiPriority w:val="99"/>
    <w:semiHidden/>
    <w:qFormat/>
    <w:rPr>
      <w:color w:val="808080"/>
    </w:rPr>
  </w:style>
  <w:style w:type="paragraph" w:customStyle="1" w:styleId="E8B9599D7D77407D919EFBC4F6E85C90">
    <w:name w:val="E8B9599D7D77407D919EFBC4F6E85C90"/>
    <w:qFormat/>
    <w:pPr>
      <w:spacing w:after="160" w:line="259" w:lineRule="auto"/>
    </w:pPr>
    <w:rPr>
      <w:rFonts w:asciiTheme="minorHAnsi" w:eastAsiaTheme="minorEastAsia" w:hAnsiTheme="minorHAnsi" w:cstheme="minorBidi"/>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B8EA8F-C64B-44B0-9A2B-5280CE28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1401</Words>
  <Characters>7987</Characters>
  <Application>Microsoft Office Word</Application>
  <DocSecurity>0</DocSecurity>
  <Lines>66</Lines>
  <Paragraphs>18</Paragraphs>
  <ScaleCrop>false</ScaleCrop>
  <Company>ZTE</Company>
  <LinksUpToDate>false</LinksUpToDate>
  <CharactersWithSpaces>9370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RedCap evolution in Rel-18</dc:title>
  <dc:creator>ZTE</dc:creator>
  <cp:lastModifiedBy>ZTE</cp:lastModifiedBy>
  <cp:revision>4</cp:revision>
  <cp:lastPrinted>2011-10-28T07:16:00Z</cp:lastPrinted>
  <dcterms:created xsi:type="dcterms:W3CDTF">2021-06-05T16:46:00Z</dcterms:created>
  <dcterms:modified xsi:type="dcterms:W3CDTF">2021-09-06T19:37:00Z</dcterms:modified>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